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9A59F" w14:textId="77777777" w:rsidR="00FE78CC" w:rsidRPr="008373C9" w:rsidRDefault="00357FE7" w:rsidP="00D06495">
      <w:pPr>
        <w:rPr>
          <w:b/>
          <w:sz w:val="24"/>
        </w:rPr>
      </w:pPr>
      <w:r w:rsidRPr="008373C9">
        <w:rPr>
          <w:b/>
          <w:sz w:val="24"/>
        </w:rPr>
        <w:t>CAS CHAVEX</w:t>
      </w:r>
      <w:r w:rsidR="00E847F9">
        <w:rPr>
          <w:b/>
          <w:sz w:val="24"/>
        </w:rPr>
        <w:t> !!!</w:t>
      </w:r>
    </w:p>
    <w:p w14:paraId="0F33AC64" w14:textId="77777777" w:rsidR="00357FE7" w:rsidRPr="008373C9" w:rsidRDefault="00357FE7" w:rsidP="00357FE7">
      <w:pPr>
        <w:jc w:val="both"/>
        <w:rPr>
          <w:sz w:val="24"/>
        </w:rPr>
      </w:pPr>
      <w:r w:rsidRPr="008373C9">
        <w:rPr>
          <w:sz w:val="24"/>
        </w:rPr>
        <w:t xml:space="preserve">Un important projet d’investissement est envisagé pour la fin de l’année N. Une réunion de travail de la direction a étudié les dernières estimations portant sur les coûts et les perspectives et a engagé une première </w:t>
      </w:r>
      <w:r w:rsidR="00E847F9" w:rsidRPr="008373C9">
        <w:rPr>
          <w:sz w:val="24"/>
        </w:rPr>
        <w:t>réflexion sur</w:t>
      </w:r>
      <w:r w:rsidRPr="008373C9">
        <w:rPr>
          <w:sz w:val="24"/>
        </w:rPr>
        <w:t xml:space="preserve"> l’opportunité de cette réalisation. Elle a également envisagé les formes possibles du financement de ce projet.</w:t>
      </w:r>
    </w:p>
    <w:p w14:paraId="4C6933D2" w14:textId="77777777" w:rsidR="00357FE7" w:rsidRPr="008373C9" w:rsidRDefault="00357FE7" w:rsidP="00357FE7">
      <w:pPr>
        <w:jc w:val="both"/>
        <w:rPr>
          <w:b/>
          <w:i/>
          <w:sz w:val="24"/>
        </w:rPr>
      </w:pPr>
      <w:r w:rsidRPr="008373C9">
        <w:rPr>
          <w:b/>
          <w:i/>
          <w:sz w:val="24"/>
        </w:rPr>
        <w:t>Nature du projet:</w:t>
      </w:r>
    </w:p>
    <w:p w14:paraId="7AF5E1AB" w14:textId="77777777" w:rsidR="00357FE7" w:rsidRDefault="00357FE7" w:rsidP="00357FE7">
      <w:pPr>
        <w:jc w:val="both"/>
        <w:rPr>
          <w:sz w:val="24"/>
        </w:rPr>
      </w:pPr>
      <w:r w:rsidRPr="008373C9">
        <w:rPr>
          <w:sz w:val="24"/>
        </w:rPr>
        <w:t xml:space="preserve">Les dirigeants de CHAVEX ont le projet d’installer, </w:t>
      </w:r>
      <w:r w:rsidR="008373C9">
        <w:rPr>
          <w:sz w:val="24"/>
        </w:rPr>
        <w:t>dès la fin de l’année N, un procédé entièrement nouveau de teinture de matières diverses, telles que cuir, synthétiques…</w:t>
      </w:r>
    </w:p>
    <w:p w14:paraId="45DF49EB" w14:textId="77777777" w:rsidR="008373C9" w:rsidRDefault="008373C9" w:rsidP="00357FE7">
      <w:pPr>
        <w:jc w:val="both"/>
        <w:rPr>
          <w:sz w:val="24"/>
        </w:rPr>
      </w:pPr>
      <w:r>
        <w:rPr>
          <w:sz w:val="24"/>
        </w:rPr>
        <w:t>Issu de son laboratoire de recherche et de la collaboration avec la firme EQUIPTEX, ce procédé accroît considérablement la tenue de couleur sur les matières et, surtout, autorise une palette de coloris très large avec une grande flexibilité d’application.</w:t>
      </w:r>
    </w:p>
    <w:p w14:paraId="22238C52" w14:textId="77777777" w:rsidR="008373C9" w:rsidRDefault="008373C9" w:rsidP="00357FE7">
      <w:pPr>
        <w:jc w:val="both"/>
        <w:rPr>
          <w:sz w:val="24"/>
        </w:rPr>
      </w:pPr>
      <w:r>
        <w:rPr>
          <w:sz w:val="24"/>
        </w:rPr>
        <w:t>Cette invention technique constitue l’argument de la création d’une ligne vestimentaire pour les 8-16 ans, vendue sous la marque ATLAS EXOTIQUE. Cette ligne devant définir une mode, les dirigeants souhaitent récupérer leur investissement au bout de 5 ans.</w:t>
      </w:r>
    </w:p>
    <w:p w14:paraId="48CAF85C" w14:textId="77777777" w:rsidR="003D1C42" w:rsidRPr="003D1C42" w:rsidRDefault="008373C9" w:rsidP="00357FE7">
      <w:pPr>
        <w:jc w:val="both"/>
        <w:rPr>
          <w:b/>
          <w:i/>
          <w:sz w:val="24"/>
        </w:rPr>
      </w:pPr>
      <w:r w:rsidRPr="003D1C42">
        <w:rPr>
          <w:b/>
          <w:i/>
          <w:sz w:val="24"/>
        </w:rPr>
        <w:t xml:space="preserve">Données économiques, </w:t>
      </w:r>
      <w:r w:rsidR="003D1C42" w:rsidRPr="003D1C42">
        <w:rPr>
          <w:b/>
          <w:i/>
          <w:sz w:val="24"/>
        </w:rPr>
        <w:t>estimations relatives à des perspectives moyennes :</w:t>
      </w:r>
    </w:p>
    <w:p w14:paraId="2DA6C1B5" w14:textId="77777777" w:rsidR="003D1C42" w:rsidRDefault="003D1C42" w:rsidP="003D1C42">
      <w:pPr>
        <w:pStyle w:val="Paragraphedeliste"/>
        <w:numPr>
          <w:ilvl w:val="0"/>
          <w:numId w:val="1"/>
        </w:numPr>
        <w:jc w:val="both"/>
        <w:rPr>
          <w:sz w:val="24"/>
        </w:rPr>
      </w:pPr>
      <w:r>
        <w:rPr>
          <w:sz w:val="24"/>
        </w:rPr>
        <w:t xml:space="preserve">Le coût de l’opération est estimé à 37 085 </w:t>
      </w:r>
      <w:proofErr w:type="spellStart"/>
      <w:r>
        <w:rPr>
          <w:sz w:val="24"/>
        </w:rPr>
        <w:t>kdh</w:t>
      </w:r>
      <w:proofErr w:type="spellEnd"/>
      <w:r>
        <w:rPr>
          <w:sz w:val="24"/>
        </w:rPr>
        <w:t xml:space="preserve"> et concerne l’acquisition d’équipements de teinturerie et de l’environnement technique pour 33 835 </w:t>
      </w:r>
      <w:proofErr w:type="spellStart"/>
      <w:r>
        <w:rPr>
          <w:sz w:val="24"/>
        </w:rPr>
        <w:t>kdh</w:t>
      </w:r>
      <w:proofErr w:type="spellEnd"/>
      <w:r>
        <w:rPr>
          <w:sz w:val="24"/>
        </w:rPr>
        <w:t xml:space="preserve"> et des frais de recherche-développement pour 3 250 </w:t>
      </w:r>
      <w:proofErr w:type="spellStart"/>
      <w:r>
        <w:rPr>
          <w:sz w:val="24"/>
        </w:rPr>
        <w:t>kdh</w:t>
      </w:r>
      <w:proofErr w:type="spellEnd"/>
      <w:r>
        <w:rPr>
          <w:sz w:val="24"/>
        </w:rPr>
        <w:t>.</w:t>
      </w:r>
    </w:p>
    <w:p w14:paraId="7161FFE3" w14:textId="77777777" w:rsidR="003D1C42" w:rsidRDefault="003D1C42" w:rsidP="003D1C42">
      <w:pPr>
        <w:pStyle w:val="Paragraphedeliste"/>
        <w:jc w:val="both"/>
        <w:rPr>
          <w:sz w:val="24"/>
        </w:rPr>
      </w:pPr>
      <w:r>
        <w:rPr>
          <w:sz w:val="24"/>
        </w:rPr>
        <w:t xml:space="preserve">Les dépenses de RD seront engagées début N+1 alors que celles liées </w:t>
      </w:r>
      <w:r w:rsidR="00E847F9">
        <w:rPr>
          <w:sz w:val="24"/>
        </w:rPr>
        <w:t>aux équipements</w:t>
      </w:r>
      <w:r>
        <w:rPr>
          <w:sz w:val="24"/>
        </w:rPr>
        <w:t xml:space="preserve"> le seront début</w:t>
      </w:r>
      <w:r w:rsidR="00D213C9">
        <w:rPr>
          <w:sz w:val="24"/>
        </w:rPr>
        <w:t xml:space="preserve"> N+2, date de </w:t>
      </w:r>
      <w:r w:rsidR="00E847F9">
        <w:rPr>
          <w:sz w:val="24"/>
        </w:rPr>
        <w:t>démarrage</w:t>
      </w:r>
      <w:r w:rsidR="00D213C9">
        <w:rPr>
          <w:sz w:val="24"/>
        </w:rPr>
        <w:t xml:space="preserve"> de l’exploitation du projet.</w:t>
      </w:r>
    </w:p>
    <w:p w14:paraId="57A29E13" w14:textId="77777777" w:rsidR="00D213C9" w:rsidRDefault="00D213C9" w:rsidP="003D1C42">
      <w:pPr>
        <w:pStyle w:val="Paragraphedeliste"/>
        <w:jc w:val="both"/>
        <w:rPr>
          <w:sz w:val="24"/>
        </w:rPr>
      </w:pPr>
      <w:r>
        <w:rPr>
          <w:sz w:val="24"/>
        </w:rPr>
        <w:t>On retiendra un amortissement constant sur 5 ans pour les frais de RD comme pour les équipements.</w:t>
      </w:r>
    </w:p>
    <w:p w14:paraId="14972D6D" w14:textId="77777777" w:rsidR="003D1C42" w:rsidRDefault="00D213C9" w:rsidP="003D1C42">
      <w:pPr>
        <w:pStyle w:val="Paragraphedeliste"/>
        <w:numPr>
          <w:ilvl w:val="0"/>
          <w:numId w:val="1"/>
        </w:numPr>
        <w:jc w:val="both"/>
        <w:rPr>
          <w:sz w:val="24"/>
        </w:rPr>
      </w:pPr>
      <w:r>
        <w:rPr>
          <w:sz w:val="24"/>
        </w:rPr>
        <w:t>Par prudence, l’étude sera menée en faisant l’hypothèse que l’exploitation sera interrompue après 5 ans. La valeur vénale de</w:t>
      </w:r>
      <w:r w:rsidR="00E847F9">
        <w:rPr>
          <w:sz w:val="24"/>
        </w:rPr>
        <w:t>s équipements, au terme de la 5</w:t>
      </w:r>
      <w:r w:rsidRPr="00E847F9">
        <w:rPr>
          <w:sz w:val="24"/>
          <w:vertAlign w:val="superscript"/>
        </w:rPr>
        <w:t>ème</w:t>
      </w:r>
      <w:r w:rsidR="00E847F9">
        <w:rPr>
          <w:sz w:val="24"/>
        </w:rPr>
        <w:t xml:space="preserve"> </w:t>
      </w:r>
      <w:r>
        <w:rPr>
          <w:sz w:val="24"/>
        </w:rPr>
        <w:t xml:space="preserve"> année est estimée à 2 706 </w:t>
      </w:r>
      <w:proofErr w:type="spellStart"/>
      <w:r>
        <w:rPr>
          <w:sz w:val="24"/>
        </w:rPr>
        <w:t>kdh</w:t>
      </w:r>
      <w:proofErr w:type="spellEnd"/>
      <w:r>
        <w:rPr>
          <w:sz w:val="24"/>
        </w:rPr>
        <w:t xml:space="preserve"> avant IS.</w:t>
      </w:r>
    </w:p>
    <w:p w14:paraId="06B65F01" w14:textId="77777777" w:rsidR="00D213C9" w:rsidRDefault="006A14EC" w:rsidP="003D1C42">
      <w:pPr>
        <w:pStyle w:val="Paragraphedeliste"/>
        <w:numPr>
          <w:ilvl w:val="0"/>
          <w:numId w:val="1"/>
        </w:numPr>
        <w:jc w:val="both"/>
        <w:rPr>
          <w:sz w:val="24"/>
        </w:rPr>
      </w:pPr>
      <w:r>
        <w:rPr>
          <w:sz w:val="24"/>
        </w:rPr>
        <w:t>Ventes prévues sous la marque ATLAS EXOTIQUE : 230 000 articles la 1</w:t>
      </w:r>
      <w:r w:rsidRPr="006A14EC">
        <w:rPr>
          <w:sz w:val="24"/>
          <w:vertAlign w:val="superscript"/>
        </w:rPr>
        <w:t>ère</w:t>
      </w:r>
      <w:r>
        <w:rPr>
          <w:sz w:val="24"/>
        </w:rPr>
        <w:t xml:space="preserve"> année, puis accroissement de 30% la 2</w:t>
      </w:r>
      <w:r w:rsidRPr="006A14EC">
        <w:rPr>
          <w:sz w:val="24"/>
          <w:vertAlign w:val="superscript"/>
        </w:rPr>
        <w:t>ème</w:t>
      </w:r>
      <w:r>
        <w:rPr>
          <w:sz w:val="24"/>
        </w:rPr>
        <w:t xml:space="preserve"> année, 15% la 3</w:t>
      </w:r>
      <w:r w:rsidRPr="006A14EC">
        <w:rPr>
          <w:sz w:val="24"/>
          <w:vertAlign w:val="superscript"/>
        </w:rPr>
        <w:t>ème</w:t>
      </w:r>
      <w:r>
        <w:rPr>
          <w:sz w:val="24"/>
        </w:rPr>
        <w:t xml:space="preserve"> année, 1% la 4</w:t>
      </w:r>
      <w:r w:rsidRPr="006A14EC">
        <w:rPr>
          <w:sz w:val="24"/>
          <w:vertAlign w:val="superscript"/>
        </w:rPr>
        <w:t>ème</w:t>
      </w:r>
      <w:r>
        <w:rPr>
          <w:sz w:val="24"/>
        </w:rPr>
        <w:t xml:space="preserve"> année. En revanche, les ventes vont décroître de 10% la 5</w:t>
      </w:r>
      <w:r w:rsidRPr="006A14EC">
        <w:rPr>
          <w:sz w:val="24"/>
          <w:vertAlign w:val="superscript"/>
        </w:rPr>
        <w:t>ème</w:t>
      </w:r>
      <w:r>
        <w:rPr>
          <w:sz w:val="24"/>
        </w:rPr>
        <w:t xml:space="preserve"> année.</w:t>
      </w:r>
    </w:p>
    <w:p w14:paraId="1D6769E1" w14:textId="77777777" w:rsidR="00D213C9" w:rsidRDefault="006C35FB" w:rsidP="003D1C42">
      <w:pPr>
        <w:pStyle w:val="Paragraphedeliste"/>
        <w:numPr>
          <w:ilvl w:val="0"/>
          <w:numId w:val="1"/>
        </w:numPr>
        <w:jc w:val="both"/>
        <w:rPr>
          <w:sz w:val="24"/>
        </w:rPr>
      </w:pPr>
      <w:r>
        <w:rPr>
          <w:sz w:val="24"/>
        </w:rPr>
        <w:t xml:space="preserve">Le prix de vente unitaire est fixé à 500 </w:t>
      </w:r>
      <w:proofErr w:type="spellStart"/>
      <w:r>
        <w:rPr>
          <w:sz w:val="24"/>
        </w:rPr>
        <w:t>Dh</w:t>
      </w:r>
      <w:proofErr w:type="spellEnd"/>
      <w:r>
        <w:rPr>
          <w:sz w:val="24"/>
        </w:rPr>
        <w:t>, il sera constant sur toute la période de l’étude.</w:t>
      </w:r>
    </w:p>
    <w:p w14:paraId="23559F47" w14:textId="77777777" w:rsidR="006C35FB" w:rsidRDefault="006C35FB" w:rsidP="003D1C42">
      <w:pPr>
        <w:pStyle w:val="Paragraphedeliste"/>
        <w:numPr>
          <w:ilvl w:val="0"/>
          <w:numId w:val="1"/>
        </w:numPr>
        <w:jc w:val="both"/>
        <w:rPr>
          <w:sz w:val="24"/>
        </w:rPr>
      </w:pPr>
      <w:r>
        <w:rPr>
          <w:sz w:val="24"/>
        </w:rPr>
        <w:t xml:space="preserve">Le coût variable unitaire est de 385 </w:t>
      </w:r>
      <w:proofErr w:type="spellStart"/>
      <w:r>
        <w:rPr>
          <w:sz w:val="24"/>
        </w:rPr>
        <w:t>Dh</w:t>
      </w:r>
      <w:proofErr w:type="spellEnd"/>
      <w:r>
        <w:rPr>
          <w:sz w:val="24"/>
        </w:rPr>
        <w:t xml:space="preserve"> la 1</w:t>
      </w:r>
      <w:r w:rsidRPr="006C35FB">
        <w:rPr>
          <w:sz w:val="24"/>
          <w:vertAlign w:val="superscript"/>
        </w:rPr>
        <w:t>ère</w:t>
      </w:r>
      <w:r w:rsidR="00D06495">
        <w:rPr>
          <w:sz w:val="24"/>
        </w:rPr>
        <w:t xml:space="preserve"> année, il sera réduit de </w:t>
      </w:r>
      <w:r>
        <w:rPr>
          <w:sz w:val="24"/>
        </w:rPr>
        <w:t>5% par</w:t>
      </w:r>
      <w:r w:rsidR="00D06495">
        <w:rPr>
          <w:sz w:val="24"/>
        </w:rPr>
        <w:t xml:space="preserve"> an</w:t>
      </w:r>
      <w:r>
        <w:rPr>
          <w:sz w:val="24"/>
        </w:rPr>
        <w:t xml:space="preserve"> les 2 années suivantes pour se stabiliser au-delà.</w:t>
      </w:r>
    </w:p>
    <w:p w14:paraId="26CC25A9" w14:textId="77777777" w:rsidR="006C35FB" w:rsidRDefault="006C35FB" w:rsidP="003D1C42">
      <w:pPr>
        <w:pStyle w:val="Paragraphedeliste"/>
        <w:numPr>
          <w:ilvl w:val="0"/>
          <w:numId w:val="1"/>
        </w:numPr>
        <w:jc w:val="both"/>
        <w:rPr>
          <w:sz w:val="24"/>
        </w:rPr>
      </w:pPr>
      <w:r>
        <w:rPr>
          <w:sz w:val="24"/>
        </w:rPr>
        <w:t xml:space="preserve">Les charges fixes, hors amortissements, sont estimées à 3 215 </w:t>
      </w:r>
      <w:proofErr w:type="spellStart"/>
      <w:r>
        <w:rPr>
          <w:sz w:val="24"/>
        </w:rPr>
        <w:t>Kdh</w:t>
      </w:r>
      <w:proofErr w:type="spellEnd"/>
      <w:r>
        <w:rPr>
          <w:sz w:val="24"/>
        </w:rPr>
        <w:t xml:space="preserve"> par an.</w:t>
      </w:r>
    </w:p>
    <w:p w14:paraId="00CD8716" w14:textId="77777777" w:rsidR="006C35FB" w:rsidRDefault="006C35FB" w:rsidP="003D1C42">
      <w:pPr>
        <w:pStyle w:val="Paragraphedeliste"/>
        <w:numPr>
          <w:ilvl w:val="0"/>
          <w:numId w:val="1"/>
        </w:numPr>
        <w:jc w:val="both"/>
        <w:rPr>
          <w:sz w:val="24"/>
        </w:rPr>
      </w:pPr>
      <w:r>
        <w:rPr>
          <w:sz w:val="24"/>
        </w:rPr>
        <w:t>Le besoin de financement lié aux décalages de paiement (BFR) représente 75 jours de CAHT.</w:t>
      </w:r>
    </w:p>
    <w:p w14:paraId="67C3FD6E" w14:textId="77777777" w:rsidR="006C35FB" w:rsidRDefault="006C35FB" w:rsidP="003D1C42">
      <w:pPr>
        <w:pStyle w:val="Paragraphedeliste"/>
        <w:numPr>
          <w:ilvl w:val="0"/>
          <w:numId w:val="1"/>
        </w:numPr>
        <w:jc w:val="both"/>
        <w:rPr>
          <w:sz w:val="24"/>
        </w:rPr>
      </w:pPr>
      <w:r>
        <w:rPr>
          <w:sz w:val="24"/>
        </w:rPr>
        <w:t>Le taux d’IS est de 30%, il sera supposé constant sur toute la période.</w:t>
      </w:r>
    </w:p>
    <w:p w14:paraId="64DE45C4" w14:textId="77777777" w:rsidR="006C35FB" w:rsidRDefault="006C35FB" w:rsidP="003D1C42">
      <w:pPr>
        <w:pStyle w:val="Paragraphedeliste"/>
        <w:numPr>
          <w:ilvl w:val="0"/>
          <w:numId w:val="1"/>
        </w:numPr>
        <w:jc w:val="both"/>
        <w:rPr>
          <w:sz w:val="24"/>
        </w:rPr>
      </w:pPr>
      <w:r>
        <w:rPr>
          <w:sz w:val="24"/>
        </w:rPr>
        <w:t>La valeur finale du projet est estimée à la moyenne entre :</w:t>
      </w:r>
    </w:p>
    <w:p w14:paraId="3E276F95" w14:textId="77777777" w:rsidR="006C35FB" w:rsidRDefault="006C35FB" w:rsidP="006C35FB">
      <w:pPr>
        <w:pStyle w:val="Paragraphedeliste"/>
        <w:numPr>
          <w:ilvl w:val="0"/>
          <w:numId w:val="1"/>
        </w:numPr>
        <w:ind w:firstLine="273"/>
        <w:jc w:val="both"/>
        <w:rPr>
          <w:sz w:val="24"/>
        </w:rPr>
      </w:pPr>
      <w:r>
        <w:rPr>
          <w:sz w:val="24"/>
        </w:rPr>
        <w:lastRenderedPageBreak/>
        <w:t>La valeur patrimoniale du projet qui est composée de la valeur vénale nette d’</w:t>
      </w:r>
      <w:r w:rsidR="006F0469">
        <w:rPr>
          <w:sz w:val="24"/>
        </w:rPr>
        <w:t>IS des équipements et de la</w:t>
      </w:r>
      <w:r>
        <w:rPr>
          <w:sz w:val="24"/>
        </w:rPr>
        <w:t xml:space="preserve"> récupération de 80% du BFR</w:t>
      </w:r>
      <w:r w:rsidR="006F0469">
        <w:rPr>
          <w:sz w:val="24"/>
        </w:rPr>
        <w:t>,</w:t>
      </w:r>
    </w:p>
    <w:p w14:paraId="09F078E1" w14:textId="77777777" w:rsidR="006F0469" w:rsidRDefault="006F0469" w:rsidP="006C35FB">
      <w:pPr>
        <w:pStyle w:val="Paragraphedeliste"/>
        <w:numPr>
          <w:ilvl w:val="0"/>
          <w:numId w:val="1"/>
        </w:numPr>
        <w:ind w:firstLine="273"/>
        <w:jc w:val="both"/>
        <w:rPr>
          <w:sz w:val="24"/>
        </w:rPr>
      </w:pPr>
      <w:r>
        <w:rPr>
          <w:sz w:val="24"/>
        </w:rPr>
        <w:t>La valeur capitalisée sur 5 ans du dernier CF du projet ; la capitalisation sera effectuée au CMPC + 2%.</w:t>
      </w:r>
    </w:p>
    <w:p w14:paraId="695A09BB" w14:textId="77777777" w:rsidR="006F0469" w:rsidRDefault="006F0469" w:rsidP="006C35FB">
      <w:pPr>
        <w:pStyle w:val="Paragraphedeliste"/>
        <w:numPr>
          <w:ilvl w:val="0"/>
          <w:numId w:val="1"/>
        </w:numPr>
        <w:ind w:firstLine="273"/>
        <w:jc w:val="both"/>
        <w:rPr>
          <w:sz w:val="24"/>
        </w:rPr>
      </w:pPr>
      <w:r>
        <w:rPr>
          <w:sz w:val="24"/>
        </w:rPr>
        <w:t>Le financement structurel de CHAVEX est fondé sur les fonds propres à hauteur de 60% et les dettes financières pour le reste.</w:t>
      </w:r>
    </w:p>
    <w:p w14:paraId="3E343B67" w14:textId="77777777" w:rsidR="006F0469" w:rsidRDefault="006F0469" w:rsidP="006C35FB">
      <w:pPr>
        <w:pStyle w:val="Paragraphedeliste"/>
        <w:numPr>
          <w:ilvl w:val="0"/>
          <w:numId w:val="1"/>
        </w:numPr>
        <w:ind w:firstLine="273"/>
        <w:jc w:val="both"/>
        <w:rPr>
          <w:sz w:val="24"/>
        </w:rPr>
      </w:pPr>
      <w:r>
        <w:rPr>
          <w:sz w:val="24"/>
        </w:rPr>
        <w:t xml:space="preserve">Le taux de rendement requis par les actionnaires est calculé selon le MEDAF qui permet de ressortir les données suivantes : </w:t>
      </w:r>
      <w:proofErr w:type="spellStart"/>
      <w:r>
        <w:rPr>
          <w:sz w:val="24"/>
        </w:rPr>
        <w:t>Rf</w:t>
      </w:r>
      <w:proofErr w:type="spellEnd"/>
      <w:r>
        <w:rPr>
          <w:sz w:val="24"/>
        </w:rPr>
        <w:t xml:space="preserve"> = </w:t>
      </w:r>
      <w:r w:rsidR="008A372F">
        <w:rPr>
          <w:sz w:val="24"/>
        </w:rPr>
        <w:t>4</w:t>
      </w:r>
      <w:r>
        <w:rPr>
          <w:sz w:val="24"/>
        </w:rPr>
        <w:t xml:space="preserve">% ; </w:t>
      </w:r>
      <w:proofErr w:type="spellStart"/>
      <w:r>
        <w:rPr>
          <w:sz w:val="24"/>
        </w:rPr>
        <w:t>Rm</w:t>
      </w:r>
      <w:proofErr w:type="spellEnd"/>
      <w:r>
        <w:rPr>
          <w:sz w:val="24"/>
        </w:rPr>
        <w:t xml:space="preserve"> = </w:t>
      </w:r>
      <w:r w:rsidR="008A372F">
        <w:rPr>
          <w:sz w:val="24"/>
        </w:rPr>
        <w:t xml:space="preserve">8 </w:t>
      </w:r>
      <w:r>
        <w:rPr>
          <w:sz w:val="24"/>
        </w:rPr>
        <w:t>% ; β = 3.</w:t>
      </w:r>
    </w:p>
    <w:p w14:paraId="74D7AA8B" w14:textId="77777777" w:rsidR="008A372F" w:rsidRDefault="008A372F" w:rsidP="006C35FB">
      <w:pPr>
        <w:pStyle w:val="Paragraphedeliste"/>
        <w:numPr>
          <w:ilvl w:val="0"/>
          <w:numId w:val="1"/>
        </w:numPr>
        <w:ind w:firstLine="273"/>
        <w:jc w:val="both"/>
        <w:rPr>
          <w:sz w:val="24"/>
        </w:rPr>
      </w:pPr>
      <w:r>
        <w:rPr>
          <w:sz w:val="24"/>
        </w:rPr>
        <w:t>Le taux d’intérêt moyen avant IS des emprunts so</w:t>
      </w:r>
      <w:r w:rsidR="00820A49">
        <w:rPr>
          <w:sz w:val="24"/>
        </w:rPr>
        <w:t>uscrits par CHAVEX se monte à 12,14</w:t>
      </w:r>
      <w:r>
        <w:rPr>
          <w:sz w:val="24"/>
        </w:rPr>
        <w:t>%.</w:t>
      </w:r>
    </w:p>
    <w:p w14:paraId="10B68551" w14:textId="53EE5304" w:rsidR="00820A49" w:rsidRDefault="00820A49" w:rsidP="006C35FB">
      <w:pPr>
        <w:pStyle w:val="Paragraphedeliste"/>
        <w:numPr>
          <w:ilvl w:val="0"/>
          <w:numId w:val="1"/>
        </w:numPr>
        <w:ind w:firstLine="273"/>
        <w:jc w:val="both"/>
        <w:rPr>
          <w:sz w:val="24"/>
        </w:rPr>
      </w:pPr>
      <w:r>
        <w:rPr>
          <w:sz w:val="24"/>
        </w:rPr>
        <w:t xml:space="preserve">Il </w:t>
      </w:r>
      <w:r w:rsidR="0032635A">
        <w:rPr>
          <w:sz w:val="24"/>
        </w:rPr>
        <w:t xml:space="preserve">est </w:t>
      </w:r>
      <w:r>
        <w:rPr>
          <w:sz w:val="24"/>
        </w:rPr>
        <w:t>préconisé de retenir le coût du capital comme taux d’actualisation des flux monétaires induits par le projet envisagé.</w:t>
      </w:r>
    </w:p>
    <w:p w14:paraId="452540C7" w14:textId="77777777" w:rsidR="00D06495" w:rsidRDefault="00D06495" w:rsidP="006C35FB">
      <w:pPr>
        <w:pStyle w:val="Paragraphedeliste"/>
        <w:numPr>
          <w:ilvl w:val="0"/>
          <w:numId w:val="1"/>
        </w:numPr>
        <w:ind w:firstLine="273"/>
        <w:jc w:val="both"/>
        <w:rPr>
          <w:sz w:val="24"/>
        </w:rPr>
      </w:pPr>
      <w:r>
        <w:rPr>
          <w:sz w:val="24"/>
        </w:rPr>
        <w:t xml:space="preserve">Concernant le financement du projet, la DF envisage </w:t>
      </w:r>
      <w:r w:rsidR="004E0BC3">
        <w:rPr>
          <w:sz w:val="24"/>
        </w:rPr>
        <w:t>d’utiliser pour l’essentiel ses propres ressources. Toutefois, elle estime qu’il serait également opportun de tirer profit du moins partiellement de l’effet de levier en recourant à d’autres modes, notamment pour le financement d’une partie des équipements à hauteur de 20 000 KDH</w:t>
      </w:r>
      <w:r w:rsidR="00E40285">
        <w:rPr>
          <w:sz w:val="24"/>
        </w:rPr>
        <w:t>. A cet égard, les deux propositions ci-dessous ont été faites par un organisme financier :</w:t>
      </w:r>
    </w:p>
    <w:p w14:paraId="4132EFA7" w14:textId="77777777" w:rsidR="00E40285" w:rsidRDefault="00E40285" w:rsidP="00E40285">
      <w:pPr>
        <w:pStyle w:val="Paragraphedeliste"/>
        <w:numPr>
          <w:ilvl w:val="2"/>
          <w:numId w:val="1"/>
        </w:numPr>
        <w:jc w:val="both"/>
        <w:rPr>
          <w:sz w:val="24"/>
        </w:rPr>
      </w:pPr>
      <w:r>
        <w:rPr>
          <w:sz w:val="24"/>
        </w:rPr>
        <w:t>Emprunt sur 5 ans au taux de 9% remboursable in fine.</w:t>
      </w:r>
    </w:p>
    <w:p w14:paraId="5A20BFF2" w14:textId="77777777" w:rsidR="00E40285" w:rsidRDefault="00912D42" w:rsidP="00E40285">
      <w:pPr>
        <w:pStyle w:val="Paragraphedeliste"/>
        <w:numPr>
          <w:ilvl w:val="2"/>
          <w:numId w:val="1"/>
        </w:numPr>
        <w:jc w:val="both"/>
        <w:rPr>
          <w:sz w:val="24"/>
        </w:rPr>
      </w:pPr>
      <w:r>
        <w:rPr>
          <w:sz w:val="24"/>
        </w:rPr>
        <w:t>L</w:t>
      </w:r>
      <w:r w:rsidR="00E40285">
        <w:rPr>
          <w:sz w:val="24"/>
        </w:rPr>
        <w:t>o</w:t>
      </w:r>
      <w:r>
        <w:rPr>
          <w:sz w:val="24"/>
        </w:rPr>
        <w:t xml:space="preserve">cation sur 5 ans contre versement en début d’année de loyers de 6500 </w:t>
      </w:r>
      <w:proofErr w:type="spellStart"/>
      <w:r>
        <w:rPr>
          <w:sz w:val="24"/>
        </w:rPr>
        <w:t>kdh</w:t>
      </w:r>
      <w:proofErr w:type="spellEnd"/>
      <w:r>
        <w:rPr>
          <w:sz w:val="24"/>
        </w:rPr>
        <w:t xml:space="preserve"> et le paiement d’une caution de 1000 KDH à la signature du contrat à récupérer fin de la 5</w:t>
      </w:r>
      <w:r w:rsidRPr="00912D42">
        <w:rPr>
          <w:sz w:val="24"/>
          <w:vertAlign w:val="superscript"/>
        </w:rPr>
        <w:t>ème</w:t>
      </w:r>
      <w:r>
        <w:rPr>
          <w:sz w:val="24"/>
        </w:rPr>
        <w:t xml:space="preserve"> année.</w:t>
      </w:r>
    </w:p>
    <w:p w14:paraId="35707E6E" w14:textId="77777777" w:rsidR="00820A49" w:rsidRDefault="00820A49" w:rsidP="00820A49">
      <w:pPr>
        <w:jc w:val="both"/>
        <w:rPr>
          <w:b/>
          <w:i/>
          <w:sz w:val="24"/>
        </w:rPr>
      </w:pPr>
    </w:p>
    <w:p w14:paraId="37AF21CC" w14:textId="77777777" w:rsidR="00820A49" w:rsidRDefault="00820A49" w:rsidP="00E847F9">
      <w:pPr>
        <w:pBdr>
          <w:top w:val="single" w:sz="4" w:space="1" w:color="auto"/>
          <w:left w:val="single" w:sz="4" w:space="4" w:color="auto"/>
          <w:bottom w:val="single" w:sz="4" w:space="1" w:color="auto"/>
          <w:right w:val="single" w:sz="4" w:space="4" w:color="auto"/>
        </w:pBdr>
        <w:jc w:val="both"/>
        <w:rPr>
          <w:b/>
          <w:i/>
          <w:sz w:val="24"/>
          <w:u w:val="single"/>
        </w:rPr>
      </w:pPr>
      <w:r>
        <w:rPr>
          <w:b/>
          <w:i/>
          <w:sz w:val="24"/>
          <w:u w:val="single"/>
        </w:rPr>
        <w:t>TAF.</w:t>
      </w:r>
    </w:p>
    <w:p w14:paraId="54B04ECC" w14:textId="77777777" w:rsidR="00820A49" w:rsidRDefault="00820A49" w:rsidP="00E847F9">
      <w:pPr>
        <w:pBdr>
          <w:top w:val="single" w:sz="4" w:space="1" w:color="auto"/>
          <w:left w:val="single" w:sz="4" w:space="4" w:color="auto"/>
          <w:bottom w:val="single" w:sz="4" w:space="1" w:color="auto"/>
          <w:right w:val="single" w:sz="4" w:space="4" w:color="auto"/>
        </w:pBdr>
        <w:jc w:val="both"/>
        <w:rPr>
          <w:b/>
          <w:i/>
          <w:sz w:val="24"/>
        </w:rPr>
      </w:pPr>
      <w:r>
        <w:rPr>
          <w:b/>
          <w:i/>
          <w:sz w:val="24"/>
        </w:rPr>
        <w:t>ANALYSEZ LA FAISABILITÉ ÉCONOMIQUE DE L’INVESTISSEMENT PROJETÉ PAR CHAVEX SELON</w:t>
      </w:r>
      <w:r w:rsidR="00D06495">
        <w:rPr>
          <w:b/>
          <w:i/>
          <w:sz w:val="24"/>
        </w:rPr>
        <w:t xml:space="preserve"> LES CRITÈRES DE LA VAN</w:t>
      </w:r>
      <w:r>
        <w:rPr>
          <w:b/>
          <w:i/>
          <w:sz w:val="24"/>
        </w:rPr>
        <w:t>.</w:t>
      </w:r>
    </w:p>
    <w:p w14:paraId="0ACBD116" w14:textId="77777777" w:rsidR="00912D42" w:rsidRPr="00976D62" w:rsidRDefault="00912D42" w:rsidP="00E847F9">
      <w:pPr>
        <w:pBdr>
          <w:top w:val="single" w:sz="4" w:space="1" w:color="auto"/>
          <w:left w:val="single" w:sz="4" w:space="4" w:color="auto"/>
          <w:bottom w:val="single" w:sz="4" w:space="1" w:color="auto"/>
          <w:right w:val="single" w:sz="4" w:space="4" w:color="auto"/>
        </w:pBdr>
        <w:jc w:val="both"/>
        <w:rPr>
          <w:b/>
          <w:i/>
          <w:caps/>
          <w:sz w:val="24"/>
        </w:rPr>
      </w:pPr>
      <w:r w:rsidRPr="00976D62">
        <w:rPr>
          <w:b/>
          <w:i/>
          <w:caps/>
          <w:sz w:val="24"/>
        </w:rPr>
        <w:t>Quelle est la solution de financement la plus intéressante ?</w:t>
      </w:r>
    </w:p>
    <w:p w14:paraId="4820FED3" w14:textId="77777777" w:rsidR="00E40285" w:rsidRDefault="00E40285" w:rsidP="00E847F9">
      <w:pPr>
        <w:pBdr>
          <w:top w:val="single" w:sz="4" w:space="1" w:color="auto"/>
          <w:left w:val="single" w:sz="4" w:space="4" w:color="auto"/>
          <w:bottom w:val="single" w:sz="4" w:space="1" w:color="auto"/>
          <w:right w:val="single" w:sz="4" w:space="4" w:color="auto"/>
        </w:pBdr>
        <w:jc w:val="both"/>
        <w:rPr>
          <w:b/>
          <w:i/>
          <w:sz w:val="24"/>
        </w:rPr>
      </w:pPr>
    </w:p>
    <w:p w14:paraId="34DCC995" w14:textId="77777777" w:rsidR="00E847F9" w:rsidRDefault="00E847F9" w:rsidP="00820A49">
      <w:pPr>
        <w:jc w:val="both"/>
        <w:rPr>
          <w:b/>
          <w:i/>
          <w:sz w:val="24"/>
        </w:rPr>
      </w:pPr>
    </w:p>
    <w:p w14:paraId="152E264F" w14:textId="77777777" w:rsidR="00E847F9" w:rsidRPr="00820A49" w:rsidRDefault="00E847F9" w:rsidP="00820A49">
      <w:pPr>
        <w:jc w:val="both"/>
        <w:rPr>
          <w:b/>
          <w:i/>
          <w:sz w:val="24"/>
        </w:rPr>
      </w:pPr>
    </w:p>
    <w:p w14:paraId="4CED082D" w14:textId="50986C1C" w:rsidR="008A372F" w:rsidRDefault="00C03E46" w:rsidP="008A372F">
      <w:pPr>
        <w:jc w:val="both"/>
        <w:rPr>
          <w:sz w:val="24"/>
        </w:rPr>
      </w:pPr>
      <w:r>
        <w:rPr>
          <w:b/>
          <w:i/>
          <w:sz w:val="24"/>
        </w:rPr>
        <w:t xml:space="preserve">      </w:t>
      </w:r>
    </w:p>
    <w:p w14:paraId="3C5F85CF" w14:textId="77777777" w:rsidR="003D1C42" w:rsidRPr="003D1C42" w:rsidRDefault="003D1C42" w:rsidP="003D1C42">
      <w:pPr>
        <w:pStyle w:val="Paragraphedeliste"/>
        <w:jc w:val="both"/>
        <w:rPr>
          <w:sz w:val="24"/>
        </w:rPr>
      </w:pPr>
    </w:p>
    <w:sectPr w:rsidR="003D1C42" w:rsidRPr="003D1C42" w:rsidSect="00D06495">
      <w:foot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08D37" w14:textId="77777777" w:rsidR="00D45857" w:rsidRDefault="00D45857" w:rsidP="00E847F9">
      <w:pPr>
        <w:spacing w:after="0" w:line="240" w:lineRule="auto"/>
      </w:pPr>
      <w:r>
        <w:separator/>
      </w:r>
    </w:p>
  </w:endnote>
  <w:endnote w:type="continuationSeparator" w:id="0">
    <w:p w14:paraId="08FD093A" w14:textId="77777777" w:rsidR="00D45857" w:rsidRDefault="00D45857" w:rsidP="00E8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30282" w14:textId="77777777" w:rsidR="00E847F9" w:rsidRDefault="00E847F9">
    <w:pPr>
      <w:pStyle w:val="Pieddepage"/>
    </w:pPr>
    <w:r>
      <w:ptab w:relativeTo="margin" w:alignment="right" w:leader="none"/>
    </w:r>
    <w:r>
      <w:t>Pr. H. MESK</w:t>
    </w:r>
  </w:p>
  <w:p w14:paraId="3FD407CC" w14:textId="77777777" w:rsidR="00E847F9" w:rsidRDefault="00E847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B45B7" w14:textId="77777777" w:rsidR="00D45857" w:rsidRDefault="00D45857" w:rsidP="00E847F9">
      <w:pPr>
        <w:spacing w:after="0" w:line="240" w:lineRule="auto"/>
      </w:pPr>
      <w:r>
        <w:separator/>
      </w:r>
    </w:p>
  </w:footnote>
  <w:footnote w:type="continuationSeparator" w:id="0">
    <w:p w14:paraId="0C86D9C1" w14:textId="77777777" w:rsidR="00D45857" w:rsidRDefault="00D45857" w:rsidP="00E84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87268C"/>
    <w:multiLevelType w:val="hybridMultilevel"/>
    <w:tmpl w:val="9872C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E7"/>
    <w:rsid w:val="00172297"/>
    <w:rsid w:val="00226993"/>
    <w:rsid w:val="002A679D"/>
    <w:rsid w:val="0032635A"/>
    <w:rsid w:val="00357FE7"/>
    <w:rsid w:val="003D1C42"/>
    <w:rsid w:val="003E404A"/>
    <w:rsid w:val="00442FB9"/>
    <w:rsid w:val="004E0BC3"/>
    <w:rsid w:val="0053183D"/>
    <w:rsid w:val="00681AA6"/>
    <w:rsid w:val="006954B9"/>
    <w:rsid w:val="006A14EC"/>
    <w:rsid w:val="006C35FB"/>
    <w:rsid w:val="006F0469"/>
    <w:rsid w:val="00713700"/>
    <w:rsid w:val="00734921"/>
    <w:rsid w:val="00820A49"/>
    <w:rsid w:val="008373C9"/>
    <w:rsid w:val="008A364F"/>
    <w:rsid w:val="008A372F"/>
    <w:rsid w:val="00912D42"/>
    <w:rsid w:val="00976D62"/>
    <w:rsid w:val="009B1E5C"/>
    <w:rsid w:val="00A226AB"/>
    <w:rsid w:val="00C03E46"/>
    <w:rsid w:val="00D001D4"/>
    <w:rsid w:val="00D06495"/>
    <w:rsid w:val="00D213C9"/>
    <w:rsid w:val="00D45857"/>
    <w:rsid w:val="00DE5306"/>
    <w:rsid w:val="00DE765F"/>
    <w:rsid w:val="00E40285"/>
    <w:rsid w:val="00E847F9"/>
    <w:rsid w:val="00FB0C15"/>
    <w:rsid w:val="00FE78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D7CA"/>
  <w15:docId w15:val="{26721A29-8EC5-E844-B850-7E13A309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1C42"/>
    <w:pPr>
      <w:ind w:left="720"/>
      <w:contextualSpacing/>
    </w:pPr>
  </w:style>
  <w:style w:type="paragraph" w:styleId="En-tte">
    <w:name w:val="header"/>
    <w:basedOn w:val="Normal"/>
    <w:link w:val="En-tteCar"/>
    <w:uiPriority w:val="99"/>
    <w:semiHidden/>
    <w:unhideWhenUsed/>
    <w:rsid w:val="00E847F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47F9"/>
  </w:style>
  <w:style w:type="paragraph" w:styleId="Pieddepage">
    <w:name w:val="footer"/>
    <w:basedOn w:val="Normal"/>
    <w:link w:val="PieddepageCar"/>
    <w:uiPriority w:val="99"/>
    <w:unhideWhenUsed/>
    <w:rsid w:val="00E847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47F9"/>
  </w:style>
  <w:style w:type="paragraph" w:styleId="Textedebulles">
    <w:name w:val="Balloon Text"/>
    <w:basedOn w:val="Normal"/>
    <w:link w:val="TextedebullesCar"/>
    <w:uiPriority w:val="99"/>
    <w:semiHidden/>
    <w:unhideWhenUsed/>
    <w:rsid w:val="00E847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4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630</Words>
  <Characters>3468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hicham</dc:creator>
  <cp:lastModifiedBy>Microsoft Office User</cp:lastModifiedBy>
  <cp:revision>3</cp:revision>
  <dcterms:created xsi:type="dcterms:W3CDTF">2021-11-22T22:10:00Z</dcterms:created>
  <dcterms:modified xsi:type="dcterms:W3CDTF">2021-11-25T16:37:00Z</dcterms:modified>
</cp:coreProperties>
</file>