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09D" w:rsidRPr="006C709D" w:rsidRDefault="006C709D" w:rsidP="006C709D">
      <w:pPr>
        <w:spacing w:line="240" w:lineRule="auto"/>
        <w:rPr>
          <w:rFonts w:ascii="Times New Roman" w:hAnsi="Times New Roman" w:cs="Times New Roman"/>
          <w:b/>
          <w:bCs/>
          <w:i/>
          <w:u w:val="single"/>
        </w:rPr>
      </w:pPr>
      <w:r w:rsidRPr="006C709D">
        <w:rPr>
          <w:rFonts w:ascii="Times New Roman" w:hAnsi="Times New Roman" w:cs="Times New Roman"/>
          <w:b/>
          <w:bCs/>
          <w:i/>
          <w:u w:val="single"/>
        </w:rPr>
        <w:t>UNIVERSITE HASSAN II</w:t>
      </w:r>
      <w:r>
        <w:rPr>
          <w:rFonts w:ascii="Times New Roman" w:hAnsi="Times New Roman" w:cs="Times New Roman"/>
          <w:b/>
          <w:bCs/>
          <w:i/>
          <w:u w:val="single"/>
        </w:rPr>
        <w:t xml:space="preserve"> CASABLANCA</w:t>
      </w:r>
      <w:r w:rsidRPr="006C709D">
        <w:rPr>
          <w:rFonts w:ascii="Times New Roman" w:hAnsi="Times New Roman" w:cs="Times New Roman"/>
          <w:b/>
          <w:bCs/>
          <w:i/>
        </w:rPr>
        <w:t xml:space="preserve">                 </w:t>
      </w:r>
      <w:r>
        <w:rPr>
          <w:rFonts w:ascii="Times New Roman" w:hAnsi="Times New Roman" w:cs="Times New Roman"/>
          <w:b/>
          <w:bCs/>
          <w:i/>
        </w:rPr>
        <w:t xml:space="preserve">                                                   </w:t>
      </w:r>
      <w:r w:rsidRPr="006C709D">
        <w:rPr>
          <w:rFonts w:ascii="Times New Roman" w:hAnsi="Times New Roman" w:cs="Times New Roman"/>
          <w:b/>
          <w:bCs/>
          <w:i/>
          <w:u w:val="single"/>
        </w:rPr>
        <w:t>201</w:t>
      </w:r>
      <w:r w:rsidR="008C0638">
        <w:rPr>
          <w:rFonts w:ascii="Times New Roman" w:hAnsi="Times New Roman" w:cs="Times New Roman"/>
          <w:b/>
          <w:bCs/>
          <w:i/>
          <w:u w:val="single"/>
        </w:rPr>
        <w:t>6/</w:t>
      </w:r>
      <w:r w:rsidRPr="006C709D">
        <w:rPr>
          <w:rFonts w:ascii="Times New Roman" w:hAnsi="Times New Roman" w:cs="Times New Roman"/>
          <w:b/>
          <w:bCs/>
          <w:i/>
          <w:u w:val="single"/>
        </w:rPr>
        <w:t>201</w:t>
      </w:r>
      <w:r w:rsidR="008C0638">
        <w:rPr>
          <w:rFonts w:ascii="Times New Roman" w:hAnsi="Times New Roman" w:cs="Times New Roman"/>
          <w:b/>
          <w:bCs/>
          <w:i/>
          <w:u w:val="single"/>
        </w:rPr>
        <w:t>7</w:t>
      </w:r>
      <w:r w:rsidRPr="006C709D">
        <w:rPr>
          <w:rFonts w:ascii="Times New Roman" w:hAnsi="Times New Roman" w:cs="Times New Roman"/>
          <w:b/>
          <w:bCs/>
          <w:i/>
        </w:rPr>
        <w:t xml:space="preserve">                                                </w:t>
      </w:r>
      <w:r>
        <w:rPr>
          <w:rFonts w:ascii="Times New Roman" w:hAnsi="Times New Roman" w:cs="Times New Roman"/>
          <w:b/>
          <w:bCs/>
          <w:i/>
        </w:rPr>
        <w:t xml:space="preserve">            </w:t>
      </w:r>
      <w:r w:rsidRPr="006C709D">
        <w:rPr>
          <w:rFonts w:ascii="Times New Roman" w:hAnsi="Times New Roman" w:cs="Times New Roman"/>
          <w:b/>
          <w:bCs/>
          <w:i/>
        </w:rPr>
        <w:t xml:space="preserve"> </w:t>
      </w:r>
    </w:p>
    <w:p w:rsidR="006C709D" w:rsidRPr="006C709D" w:rsidRDefault="006C709D" w:rsidP="006C709D">
      <w:pPr>
        <w:spacing w:line="240" w:lineRule="auto"/>
        <w:rPr>
          <w:rFonts w:ascii="Times New Roman" w:hAnsi="Times New Roman" w:cs="Times New Roman"/>
          <w:b/>
          <w:bCs/>
          <w:i/>
          <w:u w:val="single"/>
        </w:rPr>
      </w:pPr>
      <w:r w:rsidRPr="006C709D">
        <w:rPr>
          <w:rFonts w:ascii="Times New Roman" w:hAnsi="Times New Roman" w:cs="Times New Roman"/>
          <w:b/>
          <w:i/>
          <w:u w:val="single"/>
        </w:rPr>
        <w:t>FACULTE DE SCIENCES JURIDIQUES</w:t>
      </w:r>
    </w:p>
    <w:p w:rsidR="006C709D" w:rsidRPr="006C709D" w:rsidRDefault="006C709D" w:rsidP="006C709D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6C709D">
        <w:rPr>
          <w:rFonts w:ascii="Times New Roman" w:hAnsi="Times New Roman" w:cs="Times New Roman"/>
          <w:b/>
          <w:i/>
          <w:u w:val="single"/>
        </w:rPr>
        <w:t>ECONOMIQUES ET SOCIALES</w:t>
      </w:r>
    </w:p>
    <w:p w:rsidR="006C709D" w:rsidRPr="006C709D" w:rsidRDefault="006C709D" w:rsidP="006C709D">
      <w:pPr>
        <w:spacing w:line="240" w:lineRule="auto"/>
        <w:rPr>
          <w:rFonts w:ascii="Times New Roman" w:hAnsi="Times New Roman" w:cs="Times New Roman"/>
          <w:i/>
          <w:u w:val="single"/>
        </w:rPr>
      </w:pPr>
      <w:r w:rsidRPr="006C709D">
        <w:rPr>
          <w:rFonts w:ascii="Times New Roman" w:hAnsi="Times New Roman" w:cs="Times New Roman"/>
          <w:b/>
          <w:i/>
          <w:u w:val="single"/>
        </w:rPr>
        <w:t>CASABLANCA</w:t>
      </w:r>
      <w:r w:rsidRPr="006C709D">
        <w:rPr>
          <w:rFonts w:ascii="Times New Roman" w:hAnsi="Times New Roman" w:cs="Times New Roman"/>
          <w:b/>
          <w:bCs/>
          <w:i/>
          <w:u w:val="single"/>
        </w:rPr>
        <w:t>- AIN CHOCK</w:t>
      </w:r>
      <w:r w:rsidRPr="006C709D">
        <w:rPr>
          <w:rFonts w:ascii="Times New Roman" w:hAnsi="Times New Roman" w:cs="Times New Roman"/>
          <w:b/>
          <w:bCs/>
          <w:i/>
        </w:rPr>
        <w:t xml:space="preserve">                                                                </w:t>
      </w:r>
    </w:p>
    <w:p w:rsidR="006C709D" w:rsidRPr="006C709D" w:rsidRDefault="006C709D" w:rsidP="006C709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6C709D">
        <w:rPr>
          <w:rFonts w:ascii="Times New Roman" w:hAnsi="Times New Roman" w:cs="Times New Roman"/>
          <w:b/>
          <w:bCs/>
          <w:i/>
          <w:u w:val="single"/>
        </w:rPr>
        <w:t xml:space="preserve">LICENCE PROFESSIONNELLE </w:t>
      </w:r>
      <w:r>
        <w:rPr>
          <w:rFonts w:ascii="Times New Roman" w:hAnsi="Times New Roman" w:cs="Times New Roman"/>
          <w:b/>
          <w:bCs/>
          <w:i/>
          <w:u w:val="single"/>
        </w:rPr>
        <w:t>GESTIONNAIRE COMPTABLE ET FINANCIER</w:t>
      </w:r>
    </w:p>
    <w:p w:rsidR="006C709D" w:rsidRDefault="006C709D" w:rsidP="006C70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Epreuve de Gestion Budgétaire</w:t>
      </w:r>
    </w:p>
    <w:p w:rsidR="006C709D" w:rsidRDefault="006C709D" w:rsidP="006C709D">
      <w:pPr>
        <w:rPr>
          <w:b/>
          <w:bCs/>
          <w:i/>
          <w:iCs/>
          <w:u w:val="single"/>
        </w:rPr>
      </w:pPr>
      <w:r w:rsidRPr="009D66E9">
        <w:rPr>
          <w:b/>
          <w:bCs/>
          <w:i/>
          <w:iCs/>
          <w:u w:val="single"/>
        </w:rPr>
        <w:t xml:space="preserve">Traiter en </w:t>
      </w:r>
      <w:r>
        <w:rPr>
          <w:b/>
          <w:bCs/>
          <w:i/>
          <w:iCs/>
          <w:u w:val="single"/>
        </w:rPr>
        <w:t>2</w:t>
      </w:r>
      <w:r w:rsidRPr="009D66E9">
        <w:rPr>
          <w:b/>
          <w:bCs/>
          <w:i/>
          <w:iCs/>
          <w:u w:val="single"/>
        </w:rPr>
        <w:t xml:space="preserve"> Heures l’ensemble de l’épreuve ci-dessous :</w:t>
      </w:r>
    </w:p>
    <w:p w:rsidR="006C709D" w:rsidRPr="006C709D" w:rsidRDefault="006C709D">
      <w:pPr>
        <w:rPr>
          <w:rFonts w:ascii="Arial Narrow" w:hAnsi="Arial Narrow"/>
          <w:b/>
          <w:i/>
          <w:sz w:val="24"/>
          <w:szCs w:val="24"/>
          <w:u w:val="single"/>
        </w:rPr>
      </w:pPr>
      <w:r w:rsidRPr="006C709D">
        <w:rPr>
          <w:rFonts w:ascii="Arial Narrow" w:hAnsi="Arial Narrow"/>
          <w:b/>
          <w:i/>
          <w:sz w:val="24"/>
          <w:szCs w:val="24"/>
          <w:u w:val="single"/>
        </w:rPr>
        <w:t>EXERCICE 1 :</w:t>
      </w:r>
    </w:p>
    <w:p w:rsidR="00323733" w:rsidRPr="006C709D" w:rsidRDefault="00323733">
      <w:pPr>
        <w:rPr>
          <w:rFonts w:ascii="Arial Narrow" w:hAnsi="Arial Narrow"/>
          <w:b/>
          <w:sz w:val="24"/>
          <w:szCs w:val="24"/>
        </w:rPr>
      </w:pPr>
      <w:r w:rsidRPr="006C709D">
        <w:rPr>
          <w:rFonts w:ascii="Arial Narrow" w:hAnsi="Arial Narrow"/>
          <w:b/>
          <w:sz w:val="24"/>
          <w:szCs w:val="24"/>
        </w:rPr>
        <w:t xml:space="preserve">L’entreprise </w:t>
      </w:r>
      <w:r w:rsidR="00C00712">
        <w:rPr>
          <w:rFonts w:ascii="Arial Narrow" w:hAnsi="Arial Narrow"/>
          <w:b/>
          <w:sz w:val="24"/>
          <w:szCs w:val="24"/>
        </w:rPr>
        <w:t>FAMEX</w:t>
      </w:r>
      <w:r w:rsidRPr="006C709D">
        <w:rPr>
          <w:rFonts w:ascii="Arial Narrow" w:hAnsi="Arial Narrow"/>
          <w:b/>
          <w:sz w:val="24"/>
          <w:szCs w:val="24"/>
        </w:rPr>
        <w:t xml:space="preserve"> est spécialisée dans la fabrication du matériel </w:t>
      </w:r>
      <w:r w:rsidR="00C00712">
        <w:rPr>
          <w:rFonts w:ascii="Arial Narrow" w:hAnsi="Arial Narrow"/>
          <w:b/>
          <w:sz w:val="24"/>
          <w:szCs w:val="24"/>
        </w:rPr>
        <w:t xml:space="preserve"> de construction </w:t>
      </w:r>
      <w:r w:rsidRPr="006C709D">
        <w:rPr>
          <w:rFonts w:ascii="Arial Narrow" w:hAnsi="Arial Narrow"/>
          <w:b/>
          <w:sz w:val="24"/>
          <w:szCs w:val="24"/>
        </w:rPr>
        <w:t xml:space="preserve">qu’elle commercialise </w:t>
      </w:r>
      <w:r w:rsidR="00C00712">
        <w:rPr>
          <w:rFonts w:ascii="Arial Narrow" w:hAnsi="Arial Narrow"/>
          <w:b/>
          <w:sz w:val="24"/>
          <w:szCs w:val="24"/>
        </w:rPr>
        <w:t>dans plusieurs pays</w:t>
      </w:r>
      <w:r w:rsidRPr="006C709D">
        <w:rPr>
          <w:rFonts w:ascii="Arial Narrow" w:hAnsi="Arial Narrow"/>
          <w:b/>
          <w:sz w:val="24"/>
          <w:szCs w:val="24"/>
        </w:rPr>
        <w:t>.</w:t>
      </w:r>
    </w:p>
    <w:p w:rsidR="00323733" w:rsidRPr="006C709D" w:rsidRDefault="00323733">
      <w:pPr>
        <w:rPr>
          <w:rFonts w:ascii="Arial Narrow" w:hAnsi="Arial Narrow"/>
          <w:b/>
          <w:sz w:val="24"/>
          <w:szCs w:val="24"/>
        </w:rPr>
      </w:pPr>
      <w:r w:rsidRPr="006C709D">
        <w:rPr>
          <w:rFonts w:ascii="Arial Narrow" w:hAnsi="Arial Narrow"/>
          <w:b/>
          <w:sz w:val="24"/>
          <w:szCs w:val="24"/>
        </w:rPr>
        <w:t xml:space="preserve">Elle propose, parmi ses différentes références, le matériel </w:t>
      </w:r>
      <w:r w:rsidR="00C00712">
        <w:rPr>
          <w:rFonts w:ascii="Arial Narrow" w:hAnsi="Arial Narrow"/>
          <w:b/>
          <w:sz w:val="24"/>
          <w:szCs w:val="24"/>
        </w:rPr>
        <w:t>FG</w:t>
      </w:r>
      <w:r w:rsidRPr="006C709D">
        <w:rPr>
          <w:rFonts w:ascii="Arial Narrow" w:hAnsi="Arial Narrow"/>
          <w:b/>
          <w:sz w:val="24"/>
          <w:szCs w:val="24"/>
        </w:rPr>
        <w:t>2</w:t>
      </w:r>
      <w:r w:rsidR="00C00712">
        <w:rPr>
          <w:rFonts w:ascii="Arial Narrow" w:hAnsi="Arial Narrow"/>
          <w:b/>
          <w:sz w:val="24"/>
          <w:szCs w:val="24"/>
        </w:rPr>
        <w:t>50</w:t>
      </w:r>
      <w:r w:rsidRPr="006C709D">
        <w:rPr>
          <w:rFonts w:ascii="Arial Narrow" w:hAnsi="Arial Narrow"/>
          <w:b/>
          <w:sz w:val="24"/>
          <w:szCs w:val="24"/>
        </w:rPr>
        <w:t xml:space="preserve"> dont la série chronologique passée est la suivante :</w:t>
      </w:r>
    </w:p>
    <w:tbl>
      <w:tblPr>
        <w:tblStyle w:val="Grilledutablea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323733" w:rsidRPr="006C709D" w:rsidTr="00323733">
        <w:tc>
          <w:tcPr>
            <w:tcW w:w="1842" w:type="dxa"/>
          </w:tcPr>
          <w:p w:rsidR="00323733" w:rsidRPr="006C709D" w:rsidRDefault="00323733" w:rsidP="00C50BE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C709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23733" w:rsidRPr="006C709D" w:rsidRDefault="00323733" w:rsidP="00C50BE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C709D">
              <w:rPr>
                <w:rFonts w:ascii="Arial Narrow" w:hAnsi="Arial Narrow"/>
                <w:b/>
                <w:sz w:val="24"/>
                <w:szCs w:val="24"/>
              </w:rPr>
              <w:t>T</w:t>
            </w:r>
            <w:r w:rsidRPr="006C709D">
              <w:rPr>
                <w:rFonts w:ascii="Arial Narrow" w:hAnsi="Arial Narrow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842" w:type="dxa"/>
          </w:tcPr>
          <w:p w:rsidR="00323733" w:rsidRPr="006C709D" w:rsidRDefault="00323733" w:rsidP="00C50BE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C709D">
              <w:rPr>
                <w:rFonts w:ascii="Arial Narrow" w:hAnsi="Arial Narrow"/>
                <w:b/>
                <w:sz w:val="24"/>
                <w:szCs w:val="24"/>
              </w:rPr>
              <w:t>T</w:t>
            </w:r>
            <w:r w:rsidRPr="006C709D">
              <w:rPr>
                <w:rFonts w:ascii="Arial Narrow" w:hAnsi="Arial Narrow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43" w:type="dxa"/>
          </w:tcPr>
          <w:p w:rsidR="00323733" w:rsidRPr="006C709D" w:rsidRDefault="00323733" w:rsidP="00C50BE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C709D">
              <w:rPr>
                <w:rFonts w:ascii="Arial Narrow" w:hAnsi="Arial Narrow"/>
                <w:b/>
                <w:sz w:val="24"/>
                <w:szCs w:val="24"/>
              </w:rPr>
              <w:t>T</w:t>
            </w:r>
            <w:r w:rsidRPr="006C709D">
              <w:rPr>
                <w:rFonts w:ascii="Arial Narrow" w:hAnsi="Arial Narrow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43" w:type="dxa"/>
          </w:tcPr>
          <w:p w:rsidR="00323733" w:rsidRPr="006C709D" w:rsidRDefault="00323733" w:rsidP="00C50BE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C709D">
              <w:rPr>
                <w:rFonts w:ascii="Arial Narrow" w:hAnsi="Arial Narrow"/>
                <w:b/>
                <w:sz w:val="24"/>
                <w:szCs w:val="24"/>
              </w:rPr>
              <w:t>T</w:t>
            </w:r>
            <w:r w:rsidRPr="006C709D">
              <w:rPr>
                <w:rFonts w:ascii="Arial Narrow" w:hAnsi="Arial Narrow"/>
                <w:b/>
                <w:sz w:val="24"/>
                <w:szCs w:val="24"/>
                <w:vertAlign w:val="subscript"/>
              </w:rPr>
              <w:t>4</w:t>
            </w:r>
          </w:p>
        </w:tc>
      </w:tr>
      <w:tr w:rsidR="00323733" w:rsidRPr="006C709D" w:rsidTr="00323733">
        <w:tc>
          <w:tcPr>
            <w:tcW w:w="1842" w:type="dxa"/>
          </w:tcPr>
          <w:p w:rsidR="00323733" w:rsidRPr="006C709D" w:rsidRDefault="00323733" w:rsidP="00C50BE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C709D">
              <w:rPr>
                <w:rFonts w:ascii="Arial Narrow" w:hAnsi="Arial Narrow"/>
                <w:b/>
                <w:sz w:val="24"/>
                <w:szCs w:val="24"/>
              </w:rPr>
              <w:t>N-2</w:t>
            </w:r>
          </w:p>
        </w:tc>
        <w:tc>
          <w:tcPr>
            <w:tcW w:w="1842" w:type="dxa"/>
          </w:tcPr>
          <w:p w:rsidR="00323733" w:rsidRPr="006C709D" w:rsidRDefault="00323733" w:rsidP="00C50BE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C709D">
              <w:rPr>
                <w:rFonts w:ascii="Arial Narrow" w:hAnsi="Arial Narrow"/>
                <w:b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323733" w:rsidRPr="006C709D" w:rsidRDefault="00323733" w:rsidP="00C50BE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C709D">
              <w:rPr>
                <w:rFonts w:ascii="Arial Narrow" w:hAnsi="Arial Narrow"/>
                <w:b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323733" w:rsidRPr="006C709D" w:rsidRDefault="00323733" w:rsidP="00C50BE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C709D">
              <w:rPr>
                <w:rFonts w:ascii="Arial Narrow" w:hAnsi="Arial Narrow"/>
                <w:b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323733" w:rsidRPr="006C709D" w:rsidRDefault="00323733" w:rsidP="00C50BE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C709D">
              <w:rPr>
                <w:rFonts w:ascii="Arial Narrow" w:hAnsi="Arial Narrow"/>
                <w:b/>
                <w:sz w:val="24"/>
                <w:szCs w:val="24"/>
              </w:rPr>
              <w:t>25</w:t>
            </w:r>
          </w:p>
        </w:tc>
      </w:tr>
      <w:tr w:rsidR="00323733" w:rsidRPr="006C709D" w:rsidTr="00323733">
        <w:tc>
          <w:tcPr>
            <w:tcW w:w="1842" w:type="dxa"/>
          </w:tcPr>
          <w:p w:rsidR="00323733" w:rsidRPr="006C709D" w:rsidRDefault="00323733" w:rsidP="00C50BE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C709D">
              <w:rPr>
                <w:rFonts w:ascii="Arial Narrow" w:hAnsi="Arial Narrow"/>
                <w:b/>
                <w:sz w:val="24"/>
                <w:szCs w:val="24"/>
              </w:rPr>
              <w:t>N-1</w:t>
            </w:r>
          </w:p>
        </w:tc>
        <w:tc>
          <w:tcPr>
            <w:tcW w:w="1842" w:type="dxa"/>
          </w:tcPr>
          <w:p w:rsidR="00323733" w:rsidRPr="006C709D" w:rsidRDefault="00323733" w:rsidP="00C50BE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C709D">
              <w:rPr>
                <w:rFonts w:ascii="Arial Narrow" w:hAnsi="Arial Narrow"/>
                <w:b/>
                <w:sz w:val="24"/>
                <w:szCs w:val="24"/>
              </w:rPr>
              <w:t>60</w:t>
            </w:r>
          </w:p>
        </w:tc>
        <w:tc>
          <w:tcPr>
            <w:tcW w:w="1842" w:type="dxa"/>
          </w:tcPr>
          <w:p w:rsidR="00323733" w:rsidRPr="006C709D" w:rsidRDefault="00323733" w:rsidP="00C50BE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C709D">
              <w:rPr>
                <w:rFonts w:ascii="Arial Narrow" w:hAnsi="Arial Narrow"/>
                <w:b/>
                <w:sz w:val="24"/>
                <w:szCs w:val="24"/>
              </w:rPr>
              <w:t>105</w:t>
            </w:r>
          </w:p>
        </w:tc>
        <w:tc>
          <w:tcPr>
            <w:tcW w:w="1843" w:type="dxa"/>
          </w:tcPr>
          <w:p w:rsidR="00323733" w:rsidRPr="006C709D" w:rsidRDefault="00323733" w:rsidP="00C50BE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C709D">
              <w:rPr>
                <w:rFonts w:ascii="Arial Narrow" w:hAnsi="Arial Narrow"/>
                <w:b/>
                <w:sz w:val="24"/>
                <w:szCs w:val="24"/>
              </w:rPr>
              <w:t>125</w:t>
            </w:r>
          </w:p>
        </w:tc>
        <w:tc>
          <w:tcPr>
            <w:tcW w:w="1843" w:type="dxa"/>
          </w:tcPr>
          <w:p w:rsidR="00323733" w:rsidRPr="006C709D" w:rsidRDefault="00323733" w:rsidP="00C50BE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C709D">
              <w:rPr>
                <w:rFonts w:ascii="Arial Narrow" w:hAnsi="Arial Narrow"/>
                <w:b/>
                <w:sz w:val="24"/>
                <w:szCs w:val="24"/>
              </w:rPr>
              <w:t>45</w:t>
            </w:r>
          </w:p>
        </w:tc>
      </w:tr>
      <w:tr w:rsidR="00323733" w:rsidRPr="006C709D" w:rsidTr="00323733">
        <w:tc>
          <w:tcPr>
            <w:tcW w:w="1842" w:type="dxa"/>
          </w:tcPr>
          <w:p w:rsidR="00323733" w:rsidRPr="006C709D" w:rsidRDefault="00323733" w:rsidP="00C50BE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C709D">
              <w:rPr>
                <w:rFonts w:ascii="Arial Narrow" w:hAnsi="Arial Narrow"/>
                <w:b/>
                <w:sz w:val="24"/>
                <w:szCs w:val="24"/>
              </w:rPr>
              <w:t>N</w:t>
            </w:r>
          </w:p>
        </w:tc>
        <w:tc>
          <w:tcPr>
            <w:tcW w:w="1842" w:type="dxa"/>
          </w:tcPr>
          <w:p w:rsidR="00323733" w:rsidRPr="006C709D" w:rsidRDefault="00323733" w:rsidP="00C50BE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C709D">
              <w:rPr>
                <w:rFonts w:ascii="Arial Narrow" w:hAnsi="Arial Narrow"/>
                <w:b/>
                <w:sz w:val="24"/>
                <w:szCs w:val="24"/>
              </w:rPr>
              <w:t>70</w:t>
            </w:r>
          </w:p>
        </w:tc>
        <w:tc>
          <w:tcPr>
            <w:tcW w:w="1842" w:type="dxa"/>
          </w:tcPr>
          <w:p w:rsidR="00323733" w:rsidRPr="006C709D" w:rsidRDefault="00323733" w:rsidP="00C50BE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C709D">
              <w:rPr>
                <w:rFonts w:ascii="Arial Narrow" w:hAnsi="Arial Narrow"/>
                <w:b/>
                <w:sz w:val="24"/>
                <w:szCs w:val="24"/>
              </w:rPr>
              <w:t>125</w:t>
            </w:r>
          </w:p>
        </w:tc>
        <w:tc>
          <w:tcPr>
            <w:tcW w:w="1843" w:type="dxa"/>
          </w:tcPr>
          <w:p w:rsidR="00323733" w:rsidRPr="006C709D" w:rsidRDefault="00323733" w:rsidP="00C50BE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C709D">
              <w:rPr>
                <w:rFonts w:ascii="Arial Narrow" w:hAnsi="Arial Narrow"/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323733" w:rsidRPr="006C709D" w:rsidRDefault="00323733" w:rsidP="00C50BE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C709D">
              <w:rPr>
                <w:rFonts w:ascii="Arial Narrow" w:hAnsi="Arial Narrow"/>
                <w:b/>
                <w:sz w:val="24"/>
                <w:szCs w:val="24"/>
              </w:rPr>
              <w:t>65</w:t>
            </w:r>
          </w:p>
        </w:tc>
      </w:tr>
    </w:tbl>
    <w:p w:rsidR="00D944BC" w:rsidRPr="006C709D" w:rsidRDefault="00D944BC">
      <w:pPr>
        <w:rPr>
          <w:rFonts w:ascii="Arial Narrow" w:hAnsi="Arial Narrow"/>
          <w:b/>
          <w:sz w:val="24"/>
          <w:szCs w:val="24"/>
        </w:rPr>
      </w:pPr>
      <w:r w:rsidRPr="006C709D">
        <w:rPr>
          <w:rFonts w:ascii="Arial Narrow" w:hAnsi="Arial Narrow"/>
          <w:b/>
          <w:sz w:val="24"/>
          <w:szCs w:val="24"/>
        </w:rPr>
        <w:t>Les tarifs (HT) pour cette période sont les suivants :</w:t>
      </w:r>
    </w:p>
    <w:tbl>
      <w:tblPr>
        <w:tblStyle w:val="Grilledutableau"/>
        <w:tblW w:w="0" w:type="auto"/>
        <w:tblLook w:val="04A0"/>
      </w:tblPr>
      <w:tblGrid>
        <w:gridCol w:w="2414"/>
        <w:gridCol w:w="2174"/>
        <w:gridCol w:w="2414"/>
        <w:gridCol w:w="2286"/>
      </w:tblGrid>
      <w:tr w:rsidR="00C00712" w:rsidRPr="006C709D" w:rsidTr="00C00712">
        <w:tc>
          <w:tcPr>
            <w:tcW w:w="2414" w:type="dxa"/>
          </w:tcPr>
          <w:p w:rsidR="00C00712" w:rsidRPr="006C709D" w:rsidRDefault="00C00712" w:rsidP="00C0071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C709D">
              <w:rPr>
                <w:rFonts w:ascii="Arial Narrow" w:hAnsi="Arial Narrow"/>
                <w:b/>
                <w:sz w:val="24"/>
                <w:szCs w:val="24"/>
              </w:rPr>
              <w:t>T</w:t>
            </w:r>
            <w:r w:rsidRPr="006C709D">
              <w:rPr>
                <w:rFonts w:ascii="Arial Narrow" w:hAnsi="Arial Narrow"/>
                <w:b/>
                <w:sz w:val="24"/>
                <w:szCs w:val="24"/>
                <w:vertAlign w:val="subscript"/>
              </w:rPr>
              <w:t>1</w:t>
            </w:r>
            <w:r w:rsidRPr="006C709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</w:tcPr>
          <w:p w:rsidR="00C00712" w:rsidRPr="006C709D" w:rsidRDefault="00C00712" w:rsidP="00C50BE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C709D">
              <w:rPr>
                <w:rFonts w:ascii="Arial Narrow" w:hAnsi="Arial Narrow"/>
                <w:b/>
                <w:sz w:val="24"/>
                <w:szCs w:val="24"/>
              </w:rPr>
              <w:t>T</w:t>
            </w:r>
            <w:r w:rsidRPr="006C709D">
              <w:rPr>
                <w:rFonts w:ascii="Arial Narrow" w:hAnsi="Arial Narrow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414" w:type="dxa"/>
          </w:tcPr>
          <w:p w:rsidR="00C00712" w:rsidRPr="006C709D" w:rsidRDefault="00C00712" w:rsidP="00C0071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C709D">
              <w:rPr>
                <w:rFonts w:ascii="Arial Narrow" w:hAnsi="Arial Narrow"/>
                <w:b/>
                <w:sz w:val="24"/>
                <w:szCs w:val="24"/>
              </w:rPr>
              <w:t>T</w:t>
            </w:r>
            <w:r w:rsidRPr="006C709D">
              <w:rPr>
                <w:rFonts w:ascii="Arial Narrow" w:hAnsi="Arial Narrow"/>
                <w:b/>
                <w:sz w:val="24"/>
                <w:szCs w:val="24"/>
                <w:vertAlign w:val="subscript"/>
              </w:rPr>
              <w:t>3</w:t>
            </w:r>
            <w:r w:rsidRPr="006C709D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86" w:type="dxa"/>
          </w:tcPr>
          <w:p w:rsidR="00C00712" w:rsidRPr="006C709D" w:rsidRDefault="00C00712" w:rsidP="00C50BE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C709D">
              <w:rPr>
                <w:rFonts w:ascii="Arial Narrow" w:hAnsi="Arial Narrow"/>
                <w:b/>
                <w:sz w:val="24"/>
                <w:szCs w:val="24"/>
              </w:rPr>
              <w:t>T</w:t>
            </w:r>
            <w:r w:rsidRPr="006C709D">
              <w:rPr>
                <w:rFonts w:ascii="Arial Narrow" w:hAnsi="Arial Narrow"/>
                <w:b/>
                <w:sz w:val="24"/>
                <w:szCs w:val="24"/>
                <w:vertAlign w:val="subscript"/>
              </w:rPr>
              <w:t>4</w:t>
            </w:r>
          </w:p>
        </w:tc>
      </w:tr>
      <w:tr w:rsidR="00C00712" w:rsidRPr="006C709D" w:rsidTr="00C00712">
        <w:tc>
          <w:tcPr>
            <w:tcW w:w="2414" w:type="dxa"/>
          </w:tcPr>
          <w:p w:rsidR="00C00712" w:rsidRPr="006C709D" w:rsidRDefault="00C00712" w:rsidP="00C0071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33</w:t>
            </w:r>
            <w:r w:rsidRPr="006C709D">
              <w:rPr>
                <w:rFonts w:ascii="Arial Narrow" w:hAnsi="Arial Narrow"/>
                <w:b/>
                <w:sz w:val="24"/>
                <w:szCs w:val="24"/>
              </w:rPr>
              <w:t>00 DH</w:t>
            </w:r>
          </w:p>
        </w:tc>
        <w:tc>
          <w:tcPr>
            <w:tcW w:w="2174" w:type="dxa"/>
          </w:tcPr>
          <w:p w:rsidR="00C00712" w:rsidRPr="006C709D" w:rsidRDefault="00C00712" w:rsidP="00C50BE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3400</w:t>
            </w:r>
          </w:p>
        </w:tc>
        <w:tc>
          <w:tcPr>
            <w:tcW w:w="2414" w:type="dxa"/>
          </w:tcPr>
          <w:p w:rsidR="00C00712" w:rsidRPr="006C709D" w:rsidRDefault="00C00712" w:rsidP="00C50BE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3450</w:t>
            </w:r>
            <w:r w:rsidRPr="006C709D">
              <w:rPr>
                <w:rFonts w:ascii="Arial Narrow" w:hAnsi="Arial Narrow"/>
                <w:b/>
                <w:sz w:val="24"/>
                <w:szCs w:val="24"/>
              </w:rPr>
              <w:t xml:space="preserve"> DH</w:t>
            </w:r>
          </w:p>
        </w:tc>
        <w:tc>
          <w:tcPr>
            <w:tcW w:w="2286" w:type="dxa"/>
          </w:tcPr>
          <w:p w:rsidR="00C00712" w:rsidRPr="006C709D" w:rsidRDefault="00C00712" w:rsidP="00C50BE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3500</w:t>
            </w:r>
          </w:p>
        </w:tc>
      </w:tr>
    </w:tbl>
    <w:p w:rsidR="00D944BC" w:rsidRPr="006C709D" w:rsidRDefault="00D944BC">
      <w:pPr>
        <w:rPr>
          <w:rFonts w:ascii="Arial Narrow" w:hAnsi="Arial Narrow"/>
          <w:b/>
          <w:sz w:val="24"/>
          <w:szCs w:val="24"/>
        </w:rPr>
      </w:pPr>
      <w:r w:rsidRPr="006C709D">
        <w:rPr>
          <w:rFonts w:ascii="Arial Narrow" w:hAnsi="Arial Narrow"/>
          <w:b/>
          <w:sz w:val="24"/>
          <w:szCs w:val="24"/>
        </w:rPr>
        <w:t>La TVA est au taux normal : 20%</w:t>
      </w:r>
    </w:p>
    <w:p w:rsidR="00D944BC" w:rsidRPr="006C709D" w:rsidRDefault="00D944BC">
      <w:pPr>
        <w:rPr>
          <w:rFonts w:ascii="Arial Narrow" w:hAnsi="Arial Narrow"/>
          <w:b/>
          <w:sz w:val="24"/>
          <w:szCs w:val="24"/>
        </w:rPr>
      </w:pPr>
      <w:r w:rsidRPr="006C709D">
        <w:rPr>
          <w:rFonts w:ascii="Arial Narrow" w:hAnsi="Arial Narrow"/>
          <w:b/>
          <w:sz w:val="24"/>
          <w:szCs w:val="24"/>
        </w:rPr>
        <w:t>Les frais commerciaux pour la période concernent :</w:t>
      </w:r>
    </w:p>
    <w:p w:rsidR="00D944BC" w:rsidRPr="006C709D" w:rsidRDefault="00D944BC" w:rsidP="00D944BC">
      <w:pPr>
        <w:pStyle w:val="Paragraphedeliste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6C709D">
        <w:rPr>
          <w:rFonts w:ascii="Arial Narrow" w:hAnsi="Arial Narrow"/>
          <w:b/>
          <w:sz w:val="24"/>
          <w:szCs w:val="24"/>
        </w:rPr>
        <w:t xml:space="preserve">Frais d’emballage : </w:t>
      </w:r>
      <w:r w:rsidR="00C00712">
        <w:rPr>
          <w:rFonts w:ascii="Arial Narrow" w:hAnsi="Arial Narrow"/>
          <w:b/>
          <w:sz w:val="24"/>
          <w:szCs w:val="24"/>
        </w:rPr>
        <w:t>100</w:t>
      </w:r>
      <w:r w:rsidRPr="006C709D">
        <w:rPr>
          <w:rFonts w:ascii="Arial Narrow" w:hAnsi="Arial Narrow"/>
          <w:b/>
          <w:sz w:val="24"/>
          <w:szCs w:val="24"/>
        </w:rPr>
        <w:t xml:space="preserve"> DH,</w:t>
      </w:r>
    </w:p>
    <w:p w:rsidR="00D944BC" w:rsidRPr="006C709D" w:rsidRDefault="00D944BC" w:rsidP="00D944BC">
      <w:pPr>
        <w:pStyle w:val="Paragraphedeliste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6C709D">
        <w:rPr>
          <w:rFonts w:ascii="Arial Narrow" w:hAnsi="Arial Narrow"/>
          <w:b/>
          <w:sz w:val="24"/>
          <w:szCs w:val="24"/>
        </w:rPr>
        <w:t xml:space="preserve"> Frais de transport : </w:t>
      </w:r>
      <w:r w:rsidR="00C00712">
        <w:rPr>
          <w:rFonts w:ascii="Arial Narrow" w:hAnsi="Arial Narrow"/>
          <w:b/>
          <w:sz w:val="24"/>
          <w:szCs w:val="24"/>
        </w:rPr>
        <w:t>6</w:t>
      </w:r>
      <w:r w:rsidRPr="006C709D">
        <w:rPr>
          <w:rFonts w:ascii="Arial Narrow" w:hAnsi="Arial Narrow"/>
          <w:b/>
          <w:sz w:val="24"/>
          <w:szCs w:val="24"/>
        </w:rPr>
        <w:t>% du chiffre d’affaires HT,</w:t>
      </w:r>
    </w:p>
    <w:p w:rsidR="00D944BC" w:rsidRPr="006C709D" w:rsidRDefault="00D944BC" w:rsidP="00D944BC">
      <w:pPr>
        <w:pStyle w:val="Paragraphedeliste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6C709D">
        <w:rPr>
          <w:rFonts w:ascii="Arial Narrow" w:hAnsi="Arial Narrow"/>
          <w:b/>
          <w:sz w:val="24"/>
          <w:szCs w:val="24"/>
        </w:rPr>
        <w:t xml:space="preserve">Frais de communication : </w:t>
      </w:r>
      <w:r w:rsidR="00C00712">
        <w:rPr>
          <w:rFonts w:ascii="Arial Narrow" w:hAnsi="Arial Narrow"/>
          <w:b/>
          <w:sz w:val="24"/>
          <w:szCs w:val="24"/>
        </w:rPr>
        <w:t>3</w:t>
      </w:r>
      <w:r w:rsidRPr="006C709D">
        <w:rPr>
          <w:rFonts w:ascii="Arial Narrow" w:hAnsi="Arial Narrow"/>
          <w:b/>
          <w:sz w:val="24"/>
          <w:szCs w:val="24"/>
        </w:rPr>
        <w:t>% du chiffre d’affaires HT,</w:t>
      </w:r>
    </w:p>
    <w:p w:rsidR="00D944BC" w:rsidRPr="006C709D" w:rsidRDefault="00D944BC" w:rsidP="00D944BC">
      <w:pPr>
        <w:pStyle w:val="Paragraphedeliste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6C709D">
        <w:rPr>
          <w:rFonts w:ascii="Arial Narrow" w:hAnsi="Arial Narrow"/>
          <w:b/>
          <w:sz w:val="24"/>
          <w:szCs w:val="24"/>
        </w:rPr>
        <w:t>Commissions vendeurs </w:t>
      </w:r>
      <w:proofErr w:type="gramStart"/>
      <w:r w:rsidRPr="006C709D">
        <w:rPr>
          <w:rFonts w:ascii="Arial Narrow" w:hAnsi="Arial Narrow"/>
          <w:b/>
          <w:sz w:val="24"/>
          <w:szCs w:val="24"/>
        </w:rPr>
        <w:t>:</w:t>
      </w:r>
      <w:r w:rsidR="00C00712">
        <w:rPr>
          <w:rFonts w:ascii="Arial Narrow" w:hAnsi="Arial Narrow"/>
          <w:b/>
          <w:sz w:val="24"/>
          <w:szCs w:val="24"/>
        </w:rPr>
        <w:t>8</w:t>
      </w:r>
      <w:proofErr w:type="gramEnd"/>
      <w:r w:rsidRPr="006C709D">
        <w:rPr>
          <w:rFonts w:ascii="Arial Narrow" w:hAnsi="Arial Narrow"/>
          <w:b/>
          <w:sz w:val="24"/>
          <w:szCs w:val="24"/>
        </w:rPr>
        <w:t>% du chiffre d’affaires HT,</w:t>
      </w:r>
    </w:p>
    <w:p w:rsidR="00D944BC" w:rsidRPr="006C709D" w:rsidRDefault="00D944BC" w:rsidP="00D944BC">
      <w:pPr>
        <w:ind w:left="360"/>
        <w:rPr>
          <w:rFonts w:ascii="Arial Narrow" w:hAnsi="Arial Narrow"/>
          <w:b/>
          <w:sz w:val="24"/>
          <w:szCs w:val="24"/>
        </w:rPr>
      </w:pPr>
      <w:r w:rsidRPr="006C709D">
        <w:rPr>
          <w:rFonts w:ascii="Arial Narrow" w:hAnsi="Arial Narrow"/>
          <w:b/>
          <w:sz w:val="24"/>
          <w:szCs w:val="24"/>
        </w:rPr>
        <w:t>Les commissions vendeurs sont soumises</w:t>
      </w:r>
      <w:r w:rsidR="00B11034" w:rsidRPr="006C709D">
        <w:rPr>
          <w:rFonts w:ascii="Arial Narrow" w:hAnsi="Arial Narrow"/>
          <w:b/>
          <w:sz w:val="24"/>
          <w:szCs w:val="24"/>
        </w:rPr>
        <w:t xml:space="preserve"> aux cotisations sociales :</w:t>
      </w:r>
    </w:p>
    <w:p w:rsidR="00B11034" w:rsidRPr="006C709D" w:rsidRDefault="00B11034" w:rsidP="00B11034">
      <w:pPr>
        <w:pStyle w:val="Paragraphedeliste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6C709D">
        <w:rPr>
          <w:rFonts w:ascii="Arial Narrow" w:hAnsi="Arial Narrow"/>
          <w:b/>
          <w:sz w:val="24"/>
          <w:szCs w:val="24"/>
        </w:rPr>
        <w:t>45% Cotisations sociales patronales</w:t>
      </w:r>
    </w:p>
    <w:p w:rsidR="00B11034" w:rsidRDefault="00B11034" w:rsidP="00B11034">
      <w:pPr>
        <w:pStyle w:val="Paragraphedeliste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6C709D">
        <w:rPr>
          <w:rFonts w:ascii="Arial Narrow" w:hAnsi="Arial Narrow"/>
          <w:b/>
          <w:sz w:val="24"/>
          <w:szCs w:val="24"/>
        </w:rPr>
        <w:t>25% Cotisations sociales salariales</w:t>
      </w:r>
    </w:p>
    <w:p w:rsidR="00C00712" w:rsidRPr="00BC662A" w:rsidRDefault="00C00712" w:rsidP="00C00712">
      <w:pPr>
        <w:pStyle w:val="Paragraphedeliste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BC662A">
        <w:rPr>
          <w:rFonts w:ascii="Arial Narrow" w:hAnsi="Arial Narrow"/>
          <w:b/>
          <w:sz w:val="24"/>
          <w:szCs w:val="24"/>
        </w:rPr>
        <w:t>Frais d</w:t>
      </w:r>
      <w:r w:rsidR="00BC662A" w:rsidRPr="00BC662A">
        <w:rPr>
          <w:rFonts w:ascii="Arial Narrow" w:hAnsi="Arial Narrow"/>
          <w:b/>
          <w:sz w:val="24"/>
          <w:szCs w:val="24"/>
        </w:rPr>
        <w:t>e déplacement du vendeur</w:t>
      </w:r>
      <w:r w:rsidR="00BC662A" w:rsidRPr="00BC662A">
        <w:rPr>
          <w:rFonts w:ascii="Arial Narrow" w:hAnsi="Arial Narrow"/>
          <w:b/>
          <w:sz w:val="24"/>
          <w:szCs w:val="24"/>
        </w:rPr>
        <w:tab/>
        <w:t xml:space="preserve">  60 DH</w:t>
      </w:r>
    </w:p>
    <w:p w:rsidR="00C00712" w:rsidRPr="00BC662A" w:rsidRDefault="00C00712" w:rsidP="00C00712">
      <w:pPr>
        <w:pStyle w:val="Paragraphedeliste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BC662A">
        <w:rPr>
          <w:rFonts w:ascii="Arial Narrow" w:hAnsi="Arial Narrow"/>
          <w:b/>
          <w:sz w:val="24"/>
          <w:szCs w:val="24"/>
        </w:rPr>
        <w:t>Commande, Fac</w:t>
      </w:r>
      <w:r w:rsidR="00BC662A" w:rsidRPr="00BC662A">
        <w:rPr>
          <w:rFonts w:ascii="Arial Narrow" w:hAnsi="Arial Narrow"/>
          <w:b/>
          <w:sz w:val="24"/>
          <w:szCs w:val="24"/>
        </w:rPr>
        <w:t>turation</w:t>
      </w:r>
      <w:r w:rsidR="00BC662A" w:rsidRPr="00BC662A">
        <w:rPr>
          <w:rFonts w:ascii="Arial Narrow" w:hAnsi="Arial Narrow"/>
          <w:b/>
          <w:sz w:val="24"/>
          <w:szCs w:val="24"/>
        </w:rPr>
        <w:tab/>
      </w:r>
      <w:r w:rsidR="00BC662A" w:rsidRPr="00BC662A">
        <w:rPr>
          <w:rFonts w:ascii="Arial Narrow" w:hAnsi="Arial Narrow"/>
          <w:b/>
          <w:sz w:val="24"/>
          <w:szCs w:val="24"/>
        </w:rPr>
        <w:tab/>
      </w:r>
      <w:r w:rsidRPr="00BC662A">
        <w:rPr>
          <w:rFonts w:ascii="Arial Narrow" w:hAnsi="Arial Narrow"/>
          <w:b/>
          <w:sz w:val="24"/>
          <w:szCs w:val="24"/>
        </w:rPr>
        <w:t xml:space="preserve">  20</w:t>
      </w:r>
      <w:r w:rsidR="00BC662A" w:rsidRPr="00BC662A">
        <w:rPr>
          <w:rFonts w:ascii="Arial Narrow" w:hAnsi="Arial Narrow"/>
          <w:b/>
          <w:sz w:val="24"/>
          <w:szCs w:val="24"/>
        </w:rPr>
        <w:t xml:space="preserve"> DH</w:t>
      </w:r>
    </w:p>
    <w:p w:rsidR="00C00712" w:rsidRPr="00BC662A" w:rsidRDefault="00C00712" w:rsidP="00C00712">
      <w:pPr>
        <w:pStyle w:val="Paragraphedeliste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BC662A">
        <w:rPr>
          <w:rFonts w:ascii="Arial Narrow" w:hAnsi="Arial Narrow"/>
          <w:b/>
          <w:sz w:val="24"/>
          <w:szCs w:val="24"/>
        </w:rPr>
        <w:t>Livraison</w:t>
      </w:r>
      <w:r w:rsidRPr="00BC662A">
        <w:rPr>
          <w:rFonts w:ascii="Arial Narrow" w:hAnsi="Arial Narrow"/>
          <w:b/>
          <w:sz w:val="24"/>
          <w:szCs w:val="24"/>
        </w:rPr>
        <w:tab/>
      </w:r>
      <w:r w:rsidRPr="00BC662A">
        <w:rPr>
          <w:rFonts w:ascii="Arial Narrow" w:hAnsi="Arial Narrow"/>
          <w:b/>
          <w:sz w:val="24"/>
          <w:szCs w:val="24"/>
        </w:rPr>
        <w:tab/>
      </w:r>
      <w:r w:rsidRPr="00BC662A">
        <w:rPr>
          <w:rFonts w:ascii="Arial Narrow" w:hAnsi="Arial Narrow"/>
          <w:b/>
          <w:sz w:val="24"/>
          <w:szCs w:val="24"/>
        </w:rPr>
        <w:tab/>
      </w:r>
      <w:r w:rsidRPr="00BC662A">
        <w:rPr>
          <w:rFonts w:ascii="Arial Narrow" w:hAnsi="Arial Narrow"/>
          <w:b/>
          <w:sz w:val="24"/>
          <w:szCs w:val="24"/>
        </w:rPr>
        <w:tab/>
      </w:r>
      <w:r w:rsidR="00BC662A" w:rsidRPr="00BC662A">
        <w:rPr>
          <w:rFonts w:ascii="Arial Narrow" w:hAnsi="Arial Narrow"/>
          <w:b/>
          <w:sz w:val="24"/>
          <w:szCs w:val="24"/>
        </w:rPr>
        <w:t>100 DH</w:t>
      </w:r>
    </w:p>
    <w:p w:rsidR="00C00712" w:rsidRPr="00BC662A" w:rsidRDefault="00BC662A" w:rsidP="00BC662A">
      <w:pPr>
        <w:pStyle w:val="Paragraphedeliste"/>
        <w:rPr>
          <w:rFonts w:ascii="Arial Narrow" w:hAnsi="Arial Narrow"/>
          <w:b/>
          <w:sz w:val="24"/>
          <w:szCs w:val="24"/>
          <w:u w:val="single"/>
        </w:rPr>
      </w:pPr>
      <w:r w:rsidRPr="00BC662A">
        <w:rPr>
          <w:rFonts w:ascii="Arial Narrow" w:hAnsi="Arial Narrow"/>
          <w:b/>
          <w:sz w:val="24"/>
          <w:szCs w:val="24"/>
          <w:u w:val="single"/>
        </w:rPr>
        <w:t xml:space="preserve">Charges fixes </w:t>
      </w:r>
    </w:p>
    <w:p w:rsidR="00C00712" w:rsidRPr="00BC662A" w:rsidRDefault="00BC662A" w:rsidP="00C00712">
      <w:pPr>
        <w:pStyle w:val="Paragraphedeliste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BC662A">
        <w:rPr>
          <w:rFonts w:ascii="Arial Narrow" w:hAnsi="Arial Narrow"/>
          <w:b/>
          <w:sz w:val="24"/>
          <w:szCs w:val="24"/>
        </w:rPr>
        <w:tab/>
        <w:t>Publicité</w:t>
      </w:r>
      <w:r w:rsidRPr="00BC662A">
        <w:rPr>
          <w:rFonts w:ascii="Arial Narrow" w:hAnsi="Arial Narrow"/>
          <w:b/>
          <w:sz w:val="24"/>
          <w:szCs w:val="24"/>
        </w:rPr>
        <w:tab/>
      </w:r>
      <w:r w:rsidRPr="00BC662A">
        <w:rPr>
          <w:rFonts w:ascii="Arial Narrow" w:hAnsi="Arial Narrow"/>
          <w:b/>
          <w:sz w:val="24"/>
          <w:szCs w:val="24"/>
        </w:rPr>
        <w:tab/>
      </w:r>
      <w:r w:rsidRPr="00BC662A">
        <w:rPr>
          <w:rFonts w:ascii="Arial Narrow" w:hAnsi="Arial Narrow"/>
          <w:b/>
          <w:sz w:val="24"/>
          <w:szCs w:val="24"/>
        </w:rPr>
        <w:tab/>
        <w:t>40 000</w:t>
      </w:r>
    </w:p>
    <w:p w:rsidR="00C00712" w:rsidRPr="00BC662A" w:rsidRDefault="00BC662A" w:rsidP="00C00712">
      <w:pPr>
        <w:pStyle w:val="Paragraphedeliste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BC662A">
        <w:rPr>
          <w:rFonts w:ascii="Arial Narrow" w:hAnsi="Arial Narrow"/>
          <w:b/>
          <w:sz w:val="24"/>
          <w:szCs w:val="24"/>
        </w:rPr>
        <w:tab/>
        <w:t>Salaires</w:t>
      </w:r>
      <w:r w:rsidRPr="00BC662A">
        <w:rPr>
          <w:rFonts w:ascii="Arial Narrow" w:hAnsi="Arial Narrow"/>
          <w:b/>
          <w:sz w:val="24"/>
          <w:szCs w:val="24"/>
        </w:rPr>
        <w:tab/>
      </w:r>
      <w:r w:rsidRPr="00BC662A">
        <w:rPr>
          <w:rFonts w:ascii="Arial Narrow" w:hAnsi="Arial Narrow"/>
          <w:b/>
          <w:sz w:val="24"/>
          <w:szCs w:val="24"/>
        </w:rPr>
        <w:tab/>
      </w:r>
      <w:r w:rsidRPr="00BC662A">
        <w:rPr>
          <w:rFonts w:ascii="Arial Narrow" w:hAnsi="Arial Narrow"/>
          <w:b/>
          <w:sz w:val="24"/>
          <w:szCs w:val="24"/>
        </w:rPr>
        <w:tab/>
        <w:t>1200000</w:t>
      </w:r>
    </w:p>
    <w:p w:rsidR="00C00712" w:rsidRPr="00BC662A" w:rsidRDefault="00C00712" w:rsidP="00BC662A">
      <w:pPr>
        <w:pStyle w:val="Paragraphedeliste"/>
        <w:rPr>
          <w:rFonts w:ascii="Arial Narrow" w:hAnsi="Arial Narrow"/>
          <w:b/>
          <w:sz w:val="24"/>
          <w:szCs w:val="24"/>
        </w:rPr>
      </w:pPr>
    </w:p>
    <w:p w:rsidR="00B11034" w:rsidRPr="006C709D" w:rsidRDefault="00B11034" w:rsidP="00B11034">
      <w:pPr>
        <w:pStyle w:val="Paragraphedeliste"/>
        <w:rPr>
          <w:rFonts w:ascii="Arial Narrow" w:hAnsi="Arial Narrow"/>
          <w:b/>
          <w:sz w:val="24"/>
          <w:szCs w:val="24"/>
        </w:rPr>
      </w:pPr>
    </w:p>
    <w:p w:rsidR="00B11034" w:rsidRPr="006C709D" w:rsidRDefault="00B11034" w:rsidP="00B11034">
      <w:pPr>
        <w:pStyle w:val="Paragraphedeliste"/>
        <w:rPr>
          <w:rFonts w:ascii="Arial Narrow" w:hAnsi="Arial Narrow"/>
          <w:b/>
          <w:i/>
          <w:sz w:val="24"/>
          <w:szCs w:val="24"/>
          <w:u w:val="single"/>
        </w:rPr>
      </w:pPr>
      <w:r w:rsidRPr="006C709D">
        <w:rPr>
          <w:rFonts w:ascii="Arial Narrow" w:hAnsi="Arial Narrow"/>
          <w:b/>
          <w:i/>
          <w:sz w:val="24"/>
          <w:szCs w:val="24"/>
          <w:u w:val="single"/>
        </w:rPr>
        <w:lastRenderedPageBreak/>
        <w:t>TAF</w:t>
      </w:r>
    </w:p>
    <w:p w:rsidR="00B11034" w:rsidRPr="006C709D" w:rsidRDefault="00B11034" w:rsidP="00B11034">
      <w:pPr>
        <w:pStyle w:val="Paragraphedeliste"/>
        <w:numPr>
          <w:ilvl w:val="0"/>
          <w:numId w:val="2"/>
        </w:numPr>
        <w:rPr>
          <w:rFonts w:ascii="Arial Narrow" w:hAnsi="Arial Narrow"/>
          <w:b/>
          <w:sz w:val="24"/>
          <w:szCs w:val="24"/>
        </w:rPr>
      </w:pPr>
      <w:r w:rsidRPr="006C709D">
        <w:rPr>
          <w:rFonts w:ascii="Arial Narrow" w:hAnsi="Arial Narrow"/>
          <w:b/>
          <w:sz w:val="24"/>
          <w:szCs w:val="24"/>
        </w:rPr>
        <w:t>Déterminer les vente</w:t>
      </w:r>
      <w:r w:rsidR="00C00712">
        <w:rPr>
          <w:rFonts w:ascii="Arial Narrow" w:hAnsi="Arial Narrow"/>
          <w:b/>
          <w:sz w:val="24"/>
          <w:szCs w:val="24"/>
        </w:rPr>
        <w:t>s prévisionnelles du matériel FG</w:t>
      </w:r>
      <w:r w:rsidRPr="006C709D">
        <w:rPr>
          <w:rFonts w:ascii="Arial Narrow" w:hAnsi="Arial Narrow"/>
          <w:b/>
          <w:sz w:val="24"/>
          <w:szCs w:val="24"/>
        </w:rPr>
        <w:t xml:space="preserve"> 2</w:t>
      </w:r>
      <w:r w:rsidR="00C00712">
        <w:rPr>
          <w:rFonts w:ascii="Arial Narrow" w:hAnsi="Arial Narrow"/>
          <w:b/>
          <w:sz w:val="24"/>
          <w:szCs w:val="24"/>
        </w:rPr>
        <w:t>5</w:t>
      </w:r>
      <w:r w:rsidRPr="006C709D">
        <w:rPr>
          <w:rFonts w:ascii="Arial Narrow" w:hAnsi="Arial Narrow"/>
          <w:b/>
          <w:sz w:val="24"/>
          <w:szCs w:val="24"/>
        </w:rPr>
        <w:t>0 pour L’année N+1</w:t>
      </w:r>
    </w:p>
    <w:p w:rsidR="00B11034" w:rsidRPr="006C709D" w:rsidRDefault="00B11034" w:rsidP="00B11034">
      <w:pPr>
        <w:pStyle w:val="Paragraphedeliste"/>
        <w:numPr>
          <w:ilvl w:val="0"/>
          <w:numId w:val="2"/>
        </w:numPr>
        <w:rPr>
          <w:rFonts w:ascii="Arial Narrow" w:hAnsi="Arial Narrow"/>
          <w:b/>
          <w:sz w:val="24"/>
          <w:szCs w:val="24"/>
        </w:rPr>
      </w:pPr>
      <w:r w:rsidRPr="006C709D">
        <w:rPr>
          <w:rFonts w:ascii="Arial Narrow" w:hAnsi="Arial Narrow"/>
          <w:b/>
          <w:sz w:val="24"/>
          <w:szCs w:val="24"/>
        </w:rPr>
        <w:t>Etablir le budget des ventes de N+1</w:t>
      </w:r>
    </w:p>
    <w:p w:rsidR="00B11034" w:rsidRPr="006C709D" w:rsidRDefault="00B11034" w:rsidP="00B11034">
      <w:pPr>
        <w:pStyle w:val="Paragraphedeliste"/>
        <w:numPr>
          <w:ilvl w:val="0"/>
          <w:numId w:val="2"/>
        </w:numPr>
        <w:rPr>
          <w:rFonts w:ascii="Arial Narrow" w:hAnsi="Arial Narrow"/>
          <w:b/>
          <w:sz w:val="24"/>
          <w:szCs w:val="24"/>
        </w:rPr>
      </w:pPr>
      <w:r w:rsidRPr="006C709D">
        <w:rPr>
          <w:rFonts w:ascii="Arial Narrow" w:hAnsi="Arial Narrow"/>
          <w:b/>
          <w:sz w:val="24"/>
          <w:szCs w:val="24"/>
        </w:rPr>
        <w:t>Etablir le budget des frais commerciaux pour N+1</w:t>
      </w:r>
    </w:p>
    <w:p w:rsidR="00B11034" w:rsidRPr="006C709D" w:rsidRDefault="00C50BE3" w:rsidP="00B11034">
      <w:pPr>
        <w:pStyle w:val="Paragraphedeliste"/>
        <w:numPr>
          <w:ilvl w:val="0"/>
          <w:numId w:val="2"/>
        </w:numPr>
        <w:rPr>
          <w:rFonts w:ascii="Arial Narrow" w:hAnsi="Arial Narrow"/>
          <w:b/>
          <w:sz w:val="24"/>
          <w:szCs w:val="24"/>
        </w:rPr>
      </w:pPr>
      <w:r w:rsidRPr="006C709D">
        <w:rPr>
          <w:rFonts w:ascii="Arial Narrow" w:hAnsi="Arial Narrow"/>
          <w:b/>
          <w:sz w:val="24"/>
          <w:szCs w:val="24"/>
        </w:rPr>
        <w:t>En utilisant les moyennes mobiles d’ordre 4, recalculer les coefficients saisonniers</w:t>
      </w:r>
    </w:p>
    <w:p w:rsidR="006C709D" w:rsidRDefault="006C709D">
      <w:pPr>
        <w:rPr>
          <w:rFonts w:ascii="Arial Narrow" w:hAnsi="Arial Narrow"/>
          <w:b/>
          <w:i/>
          <w:sz w:val="24"/>
          <w:szCs w:val="24"/>
          <w:u w:val="single"/>
        </w:rPr>
      </w:pPr>
    </w:p>
    <w:p w:rsidR="00D944BC" w:rsidRPr="006C709D" w:rsidRDefault="00A15232">
      <w:pPr>
        <w:rPr>
          <w:rFonts w:ascii="Arial Narrow" w:hAnsi="Arial Narrow"/>
          <w:b/>
          <w:i/>
          <w:sz w:val="24"/>
          <w:szCs w:val="24"/>
          <w:u w:val="single"/>
        </w:rPr>
      </w:pPr>
      <w:r w:rsidRPr="006C709D">
        <w:rPr>
          <w:rFonts w:ascii="Arial Narrow" w:hAnsi="Arial Narrow"/>
          <w:b/>
          <w:i/>
          <w:sz w:val="24"/>
          <w:szCs w:val="24"/>
          <w:u w:val="single"/>
        </w:rPr>
        <w:t>EXERCICE2</w:t>
      </w:r>
    </w:p>
    <w:p w:rsidR="00E7112A" w:rsidRPr="006C709D" w:rsidRDefault="00E7112A">
      <w:pPr>
        <w:rPr>
          <w:rFonts w:ascii="Arial Narrow" w:hAnsi="Arial Narrow"/>
          <w:b/>
          <w:sz w:val="24"/>
          <w:szCs w:val="24"/>
        </w:rPr>
      </w:pPr>
      <w:r w:rsidRPr="006C709D">
        <w:rPr>
          <w:rFonts w:ascii="Arial Narrow" w:hAnsi="Arial Narrow"/>
          <w:b/>
          <w:sz w:val="24"/>
          <w:szCs w:val="24"/>
        </w:rPr>
        <w:t>Une entreprise a prévu d’acheter 1200 000 composants durant l’année N+1 afin de faire face aux prévisions de la production et à la volonté d’accroitre le stock de 2000 unités. Le prix d’achat d’un composant est de 20 DH</w:t>
      </w:r>
    </w:p>
    <w:p w:rsidR="00E7112A" w:rsidRPr="006C709D" w:rsidRDefault="00E7112A">
      <w:pPr>
        <w:rPr>
          <w:rFonts w:ascii="Arial Narrow" w:hAnsi="Arial Narrow"/>
          <w:b/>
          <w:sz w:val="24"/>
          <w:szCs w:val="24"/>
        </w:rPr>
      </w:pPr>
      <w:r w:rsidRPr="006C709D">
        <w:rPr>
          <w:rFonts w:ascii="Arial Narrow" w:hAnsi="Arial Narrow"/>
          <w:b/>
          <w:sz w:val="24"/>
          <w:szCs w:val="24"/>
        </w:rPr>
        <w:t>Chaque commande passée induit un coût de 300 DH</w:t>
      </w:r>
      <w:r w:rsidR="00114386" w:rsidRPr="006C709D">
        <w:rPr>
          <w:rFonts w:ascii="Arial Narrow" w:hAnsi="Arial Narrow"/>
          <w:b/>
          <w:sz w:val="24"/>
          <w:szCs w:val="24"/>
        </w:rPr>
        <w:t>, quelque soit la quantité commandée. Le coût de possession en stock est  de 150 DH pour 1000 DH stocké pendant un an. Une  année comprend 360 jours.</w:t>
      </w:r>
    </w:p>
    <w:p w:rsidR="00114386" w:rsidRPr="006C709D" w:rsidRDefault="00114386">
      <w:pPr>
        <w:rPr>
          <w:rFonts w:ascii="Arial Narrow" w:hAnsi="Arial Narrow"/>
          <w:b/>
          <w:i/>
          <w:sz w:val="24"/>
          <w:szCs w:val="24"/>
          <w:u w:val="single"/>
        </w:rPr>
      </w:pPr>
      <w:r w:rsidRPr="006C709D">
        <w:rPr>
          <w:rFonts w:ascii="Arial Narrow" w:hAnsi="Arial Narrow"/>
          <w:b/>
          <w:i/>
          <w:sz w:val="24"/>
          <w:szCs w:val="24"/>
          <w:u w:val="single"/>
        </w:rPr>
        <w:t>TAF</w:t>
      </w:r>
    </w:p>
    <w:p w:rsidR="00114386" w:rsidRPr="006C709D" w:rsidRDefault="00114386">
      <w:pPr>
        <w:rPr>
          <w:rFonts w:ascii="Arial Narrow" w:hAnsi="Arial Narrow"/>
          <w:b/>
          <w:sz w:val="24"/>
          <w:szCs w:val="24"/>
        </w:rPr>
      </w:pPr>
      <w:r w:rsidRPr="006C709D">
        <w:rPr>
          <w:rFonts w:ascii="Arial Narrow" w:hAnsi="Arial Narrow"/>
          <w:b/>
          <w:sz w:val="24"/>
          <w:szCs w:val="24"/>
        </w:rPr>
        <w:t xml:space="preserve">Dans une situation où </w:t>
      </w:r>
      <w:r w:rsidR="006C709D" w:rsidRPr="006C709D">
        <w:rPr>
          <w:rFonts w:ascii="Arial Narrow" w:hAnsi="Arial Narrow"/>
          <w:b/>
          <w:sz w:val="24"/>
          <w:szCs w:val="24"/>
        </w:rPr>
        <w:t>on ne veut</w:t>
      </w:r>
      <w:r w:rsidRPr="006C709D">
        <w:rPr>
          <w:rFonts w:ascii="Arial Narrow" w:hAnsi="Arial Narrow"/>
          <w:b/>
          <w:sz w:val="24"/>
          <w:szCs w:val="24"/>
        </w:rPr>
        <w:t xml:space="preserve"> pas de pénurie, quelle est la quantité optimale à commander (même quantité pour chaque commande) et quel est le nombre de commande à passer par an ?</w:t>
      </w:r>
    </w:p>
    <w:p w:rsidR="00114386" w:rsidRPr="006C709D" w:rsidRDefault="000349E1">
      <w:pPr>
        <w:rPr>
          <w:rFonts w:ascii="Arial Narrow" w:hAnsi="Arial Narrow"/>
          <w:b/>
          <w:i/>
          <w:sz w:val="24"/>
          <w:szCs w:val="24"/>
          <w:u w:val="single"/>
        </w:rPr>
      </w:pPr>
      <w:r w:rsidRPr="006C709D">
        <w:rPr>
          <w:rFonts w:ascii="Arial Narrow" w:hAnsi="Arial Narrow"/>
          <w:b/>
          <w:i/>
          <w:sz w:val="24"/>
          <w:szCs w:val="24"/>
          <w:u w:val="single"/>
        </w:rPr>
        <w:t>EXERCICE3</w:t>
      </w:r>
    </w:p>
    <w:p w:rsidR="000349E1" w:rsidRPr="006C709D" w:rsidRDefault="000349E1">
      <w:pPr>
        <w:rPr>
          <w:rFonts w:ascii="Arial Narrow" w:hAnsi="Arial Narrow"/>
          <w:b/>
          <w:sz w:val="24"/>
          <w:szCs w:val="24"/>
        </w:rPr>
      </w:pPr>
      <w:r w:rsidRPr="006C709D">
        <w:rPr>
          <w:rFonts w:ascii="Arial Narrow" w:hAnsi="Arial Narrow"/>
          <w:b/>
          <w:sz w:val="24"/>
          <w:szCs w:val="24"/>
        </w:rPr>
        <w:t>Deux produits P1 et P2 sont fabriqués par une entreprise. Les deux produits passent par les mêmes ateliers successifs de production : A1,</w:t>
      </w:r>
      <w:r w:rsidR="006C709D">
        <w:rPr>
          <w:rFonts w:ascii="Arial Narrow" w:hAnsi="Arial Narrow"/>
          <w:b/>
          <w:sz w:val="24"/>
          <w:szCs w:val="24"/>
        </w:rPr>
        <w:t xml:space="preserve"> </w:t>
      </w:r>
      <w:r w:rsidRPr="006C709D">
        <w:rPr>
          <w:rFonts w:ascii="Arial Narrow" w:hAnsi="Arial Narrow"/>
          <w:b/>
          <w:sz w:val="24"/>
          <w:szCs w:val="24"/>
        </w:rPr>
        <w:t xml:space="preserve">A2  puis A3. Au sein de l’atelier A1, la livraison de la matière première n’assure qu’une quantité de </w:t>
      </w:r>
      <w:r w:rsidR="00BC662A">
        <w:rPr>
          <w:rFonts w:ascii="Arial Narrow" w:hAnsi="Arial Narrow"/>
          <w:b/>
          <w:sz w:val="24"/>
          <w:szCs w:val="24"/>
        </w:rPr>
        <w:t>8</w:t>
      </w:r>
      <w:r w:rsidRPr="006C709D">
        <w:rPr>
          <w:rFonts w:ascii="Arial Narrow" w:hAnsi="Arial Narrow"/>
          <w:b/>
          <w:sz w:val="24"/>
          <w:szCs w:val="24"/>
        </w:rPr>
        <w:t xml:space="preserve"> tonnes par mois</w:t>
      </w:r>
      <w:r w:rsidR="0059429D" w:rsidRPr="006C709D">
        <w:rPr>
          <w:rFonts w:ascii="Arial Narrow" w:hAnsi="Arial Narrow"/>
          <w:b/>
          <w:sz w:val="24"/>
          <w:szCs w:val="24"/>
        </w:rPr>
        <w:t>. Au sein de l’atelier A2,</w:t>
      </w:r>
      <w:r w:rsidR="006C709D">
        <w:rPr>
          <w:rFonts w:ascii="Arial Narrow" w:hAnsi="Arial Narrow"/>
          <w:b/>
          <w:sz w:val="24"/>
          <w:szCs w:val="24"/>
        </w:rPr>
        <w:t xml:space="preserve"> </w:t>
      </w:r>
      <w:r w:rsidR="0059429D" w:rsidRPr="006C709D">
        <w:rPr>
          <w:rFonts w:ascii="Arial Narrow" w:hAnsi="Arial Narrow"/>
          <w:b/>
          <w:sz w:val="24"/>
          <w:szCs w:val="24"/>
        </w:rPr>
        <w:t xml:space="preserve">il n’y a que </w:t>
      </w:r>
      <w:r w:rsidR="00BC662A">
        <w:rPr>
          <w:rFonts w:ascii="Arial Narrow" w:hAnsi="Arial Narrow"/>
          <w:b/>
          <w:sz w:val="24"/>
          <w:szCs w:val="24"/>
        </w:rPr>
        <w:t>10</w:t>
      </w:r>
      <w:r w:rsidR="0059429D" w:rsidRPr="006C709D">
        <w:rPr>
          <w:rFonts w:ascii="Arial Narrow" w:hAnsi="Arial Narrow"/>
          <w:b/>
          <w:sz w:val="24"/>
          <w:szCs w:val="24"/>
        </w:rPr>
        <w:t>000 heures machines disponibles par mois .Au sein de l’atelier A3, il ya 1</w:t>
      </w:r>
      <w:r w:rsidR="00BC662A">
        <w:rPr>
          <w:rFonts w:ascii="Arial Narrow" w:hAnsi="Arial Narrow"/>
          <w:b/>
          <w:sz w:val="24"/>
          <w:szCs w:val="24"/>
        </w:rPr>
        <w:t>6</w:t>
      </w:r>
      <w:r w:rsidR="0059429D" w:rsidRPr="006C709D">
        <w:rPr>
          <w:rFonts w:ascii="Arial Narrow" w:hAnsi="Arial Narrow"/>
          <w:b/>
          <w:sz w:val="24"/>
          <w:szCs w:val="24"/>
        </w:rPr>
        <w:t>000 heures main- d’œuvre disponibles par mois.</w:t>
      </w:r>
    </w:p>
    <w:p w:rsidR="0059429D" w:rsidRPr="006C709D" w:rsidRDefault="0059429D">
      <w:pPr>
        <w:rPr>
          <w:rFonts w:ascii="Arial Narrow" w:hAnsi="Arial Narrow"/>
          <w:b/>
          <w:sz w:val="24"/>
          <w:szCs w:val="24"/>
        </w:rPr>
      </w:pPr>
      <w:r w:rsidRPr="006C709D">
        <w:rPr>
          <w:rFonts w:ascii="Arial Narrow" w:hAnsi="Arial Narrow"/>
          <w:b/>
          <w:sz w:val="24"/>
          <w:szCs w:val="24"/>
        </w:rPr>
        <w:t>Les normes de productions des produits P1 et P2 sont :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59429D" w:rsidRPr="006C709D" w:rsidTr="0059429D">
        <w:tc>
          <w:tcPr>
            <w:tcW w:w="3070" w:type="dxa"/>
          </w:tcPr>
          <w:p w:rsidR="0059429D" w:rsidRPr="006C709D" w:rsidRDefault="0059429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C709D">
              <w:rPr>
                <w:rFonts w:ascii="Arial Narrow" w:hAnsi="Arial Narrow"/>
                <w:b/>
                <w:sz w:val="24"/>
                <w:szCs w:val="24"/>
              </w:rPr>
              <w:t>produits</w:t>
            </w:r>
          </w:p>
        </w:tc>
        <w:tc>
          <w:tcPr>
            <w:tcW w:w="3071" w:type="dxa"/>
          </w:tcPr>
          <w:p w:rsidR="0059429D" w:rsidRPr="006C709D" w:rsidRDefault="0059429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C709D">
              <w:rPr>
                <w:rFonts w:ascii="Arial Narrow" w:hAnsi="Arial Narrow"/>
                <w:b/>
                <w:sz w:val="24"/>
                <w:szCs w:val="24"/>
              </w:rPr>
              <w:t>P1</w:t>
            </w:r>
          </w:p>
        </w:tc>
        <w:tc>
          <w:tcPr>
            <w:tcW w:w="3071" w:type="dxa"/>
          </w:tcPr>
          <w:p w:rsidR="0059429D" w:rsidRPr="006C709D" w:rsidRDefault="0059429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C709D">
              <w:rPr>
                <w:rFonts w:ascii="Arial Narrow" w:hAnsi="Arial Narrow"/>
                <w:b/>
                <w:sz w:val="24"/>
                <w:szCs w:val="24"/>
              </w:rPr>
              <w:t>P2</w:t>
            </w:r>
          </w:p>
        </w:tc>
      </w:tr>
      <w:tr w:rsidR="0059429D" w:rsidRPr="006C709D" w:rsidTr="0059429D">
        <w:tc>
          <w:tcPr>
            <w:tcW w:w="3070" w:type="dxa"/>
          </w:tcPr>
          <w:p w:rsidR="0059429D" w:rsidRPr="006C709D" w:rsidRDefault="00500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C709D">
              <w:rPr>
                <w:rFonts w:ascii="Arial Narrow" w:hAnsi="Arial Narrow"/>
                <w:b/>
                <w:sz w:val="24"/>
                <w:szCs w:val="24"/>
              </w:rPr>
              <w:t>Matières premières</w:t>
            </w:r>
          </w:p>
        </w:tc>
        <w:tc>
          <w:tcPr>
            <w:tcW w:w="3071" w:type="dxa"/>
          </w:tcPr>
          <w:p w:rsidR="0059429D" w:rsidRPr="006C709D" w:rsidRDefault="00BC662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="00500978" w:rsidRPr="006C709D">
              <w:rPr>
                <w:rFonts w:ascii="Arial Narrow" w:hAnsi="Arial Narrow"/>
                <w:b/>
                <w:sz w:val="24"/>
                <w:szCs w:val="24"/>
              </w:rPr>
              <w:t xml:space="preserve"> Kg</w:t>
            </w:r>
          </w:p>
        </w:tc>
        <w:tc>
          <w:tcPr>
            <w:tcW w:w="3071" w:type="dxa"/>
          </w:tcPr>
          <w:p w:rsidR="0059429D" w:rsidRPr="006C709D" w:rsidRDefault="00BC662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="00500978" w:rsidRPr="006C709D">
              <w:rPr>
                <w:rFonts w:ascii="Arial Narrow" w:hAnsi="Arial Narrow"/>
                <w:b/>
                <w:sz w:val="24"/>
                <w:szCs w:val="24"/>
              </w:rPr>
              <w:t xml:space="preserve"> Kg</w:t>
            </w:r>
          </w:p>
        </w:tc>
      </w:tr>
      <w:tr w:rsidR="0059429D" w:rsidRPr="006C709D" w:rsidTr="0059429D">
        <w:tc>
          <w:tcPr>
            <w:tcW w:w="3070" w:type="dxa"/>
          </w:tcPr>
          <w:p w:rsidR="0059429D" w:rsidRPr="006C709D" w:rsidRDefault="00500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C709D">
              <w:rPr>
                <w:rFonts w:ascii="Arial Narrow" w:hAnsi="Arial Narrow"/>
                <w:b/>
                <w:sz w:val="24"/>
                <w:szCs w:val="24"/>
              </w:rPr>
              <w:t>Heures machine atelier 2</w:t>
            </w:r>
          </w:p>
        </w:tc>
        <w:tc>
          <w:tcPr>
            <w:tcW w:w="3071" w:type="dxa"/>
          </w:tcPr>
          <w:p w:rsidR="0059429D" w:rsidRPr="006C709D" w:rsidRDefault="00BC662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="00500978" w:rsidRPr="006C709D">
              <w:rPr>
                <w:rFonts w:ascii="Arial Narrow" w:hAnsi="Arial Narrow"/>
                <w:b/>
                <w:sz w:val="24"/>
                <w:szCs w:val="24"/>
              </w:rPr>
              <w:t xml:space="preserve"> heures</w:t>
            </w:r>
          </w:p>
        </w:tc>
        <w:tc>
          <w:tcPr>
            <w:tcW w:w="3071" w:type="dxa"/>
          </w:tcPr>
          <w:p w:rsidR="0059429D" w:rsidRPr="006C709D" w:rsidRDefault="00BC662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="00500978" w:rsidRPr="006C709D">
              <w:rPr>
                <w:rFonts w:ascii="Arial Narrow" w:hAnsi="Arial Narrow"/>
                <w:b/>
                <w:sz w:val="24"/>
                <w:szCs w:val="24"/>
              </w:rPr>
              <w:t xml:space="preserve"> heures</w:t>
            </w:r>
          </w:p>
        </w:tc>
      </w:tr>
      <w:tr w:rsidR="0059429D" w:rsidRPr="006C709D" w:rsidTr="0059429D">
        <w:tc>
          <w:tcPr>
            <w:tcW w:w="3070" w:type="dxa"/>
          </w:tcPr>
          <w:p w:rsidR="0059429D" w:rsidRPr="006C709D" w:rsidRDefault="00500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C709D">
              <w:rPr>
                <w:rFonts w:ascii="Arial Narrow" w:hAnsi="Arial Narrow"/>
                <w:b/>
                <w:sz w:val="24"/>
                <w:szCs w:val="24"/>
              </w:rPr>
              <w:t>Heures main d’œuvre atelier3</w:t>
            </w:r>
          </w:p>
        </w:tc>
        <w:tc>
          <w:tcPr>
            <w:tcW w:w="3071" w:type="dxa"/>
          </w:tcPr>
          <w:p w:rsidR="0059429D" w:rsidRPr="006C709D" w:rsidRDefault="00BC662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="00500978" w:rsidRPr="006C709D">
              <w:rPr>
                <w:rFonts w:ascii="Arial Narrow" w:hAnsi="Arial Narrow"/>
                <w:b/>
                <w:sz w:val="24"/>
                <w:szCs w:val="24"/>
              </w:rPr>
              <w:t xml:space="preserve">  heures</w:t>
            </w:r>
          </w:p>
        </w:tc>
        <w:tc>
          <w:tcPr>
            <w:tcW w:w="3071" w:type="dxa"/>
          </w:tcPr>
          <w:p w:rsidR="0059429D" w:rsidRPr="006C709D" w:rsidRDefault="00BC662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500978" w:rsidRPr="006C709D">
              <w:rPr>
                <w:rFonts w:ascii="Arial Narrow" w:hAnsi="Arial Narrow"/>
                <w:b/>
                <w:sz w:val="24"/>
                <w:szCs w:val="24"/>
              </w:rPr>
              <w:t>heure</w:t>
            </w:r>
          </w:p>
        </w:tc>
      </w:tr>
    </w:tbl>
    <w:p w:rsidR="0059429D" w:rsidRPr="006C709D" w:rsidRDefault="0059429D">
      <w:pPr>
        <w:rPr>
          <w:rFonts w:ascii="Arial Narrow" w:hAnsi="Arial Narrow"/>
          <w:b/>
          <w:sz w:val="24"/>
          <w:szCs w:val="24"/>
        </w:rPr>
      </w:pPr>
    </w:p>
    <w:p w:rsidR="00500978" w:rsidRPr="006C709D" w:rsidRDefault="00500978" w:rsidP="00500978">
      <w:pPr>
        <w:pStyle w:val="Paragraphedeliste"/>
        <w:numPr>
          <w:ilvl w:val="0"/>
          <w:numId w:val="3"/>
        </w:numPr>
        <w:rPr>
          <w:rFonts w:ascii="Arial Narrow" w:hAnsi="Arial Narrow"/>
          <w:b/>
          <w:sz w:val="24"/>
          <w:szCs w:val="24"/>
        </w:rPr>
      </w:pPr>
      <w:r w:rsidRPr="006C709D">
        <w:rPr>
          <w:rFonts w:ascii="Arial Narrow" w:hAnsi="Arial Narrow"/>
          <w:b/>
          <w:sz w:val="24"/>
          <w:szCs w:val="24"/>
        </w:rPr>
        <w:t>Déterminer graphiquement les quantités optimales qu’on peut produire par mois.</w:t>
      </w:r>
    </w:p>
    <w:p w:rsidR="00500978" w:rsidRPr="006C709D" w:rsidRDefault="00500978" w:rsidP="00500978">
      <w:pPr>
        <w:pStyle w:val="Paragraphedeliste"/>
        <w:rPr>
          <w:rFonts w:ascii="Arial Narrow" w:hAnsi="Arial Narrow"/>
          <w:b/>
          <w:sz w:val="24"/>
          <w:szCs w:val="24"/>
        </w:rPr>
      </w:pPr>
      <w:r w:rsidRPr="006C709D">
        <w:rPr>
          <w:rFonts w:ascii="Arial Narrow" w:hAnsi="Arial Narrow"/>
          <w:b/>
          <w:sz w:val="24"/>
          <w:szCs w:val="24"/>
        </w:rPr>
        <w:t xml:space="preserve">La marge sur coût variable unitaire est de </w:t>
      </w:r>
      <w:r w:rsidR="00BC662A">
        <w:rPr>
          <w:rFonts w:ascii="Arial Narrow" w:hAnsi="Arial Narrow"/>
          <w:b/>
          <w:sz w:val="24"/>
          <w:szCs w:val="24"/>
        </w:rPr>
        <w:t>10</w:t>
      </w:r>
      <w:r w:rsidRPr="006C709D">
        <w:rPr>
          <w:rFonts w:ascii="Arial Narrow" w:hAnsi="Arial Narrow"/>
          <w:b/>
          <w:sz w:val="24"/>
          <w:szCs w:val="24"/>
        </w:rPr>
        <w:t xml:space="preserve"> DH pour le produit P1 et </w:t>
      </w:r>
      <w:r w:rsidR="00BC662A">
        <w:rPr>
          <w:rFonts w:ascii="Arial Narrow" w:hAnsi="Arial Narrow"/>
          <w:b/>
          <w:sz w:val="24"/>
          <w:szCs w:val="24"/>
        </w:rPr>
        <w:t>12</w:t>
      </w:r>
      <w:r w:rsidRPr="006C709D">
        <w:rPr>
          <w:rFonts w:ascii="Arial Narrow" w:hAnsi="Arial Narrow"/>
          <w:b/>
          <w:sz w:val="24"/>
          <w:szCs w:val="24"/>
        </w:rPr>
        <w:t xml:space="preserve"> DH pour le produit P2</w:t>
      </w:r>
    </w:p>
    <w:p w:rsidR="00500978" w:rsidRPr="006C709D" w:rsidRDefault="00500978" w:rsidP="00500978">
      <w:pPr>
        <w:pStyle w:val="Paragraphedeliste"/>
        <w:numPr>
          <w:ilvl w:val="0"/>
          <w:numId w:val="3"/>
        </w:numPr>
        <w:rPr>
          <w:rFonts w:ascii="Arial Narrow" w:hAnsi="Arial Narrow"/>
          <w:b/>
          <w:sz w:val="24"/>
          <w:szCs w:val="24"/>
        </w:rPr>
      </w:pPr>
      <w:r w:rsidRPr="006C709D">
        <w:rPr>
          <w:rFonts w:ascii="Arial Narrow" w:hAnsi="Arial Narrow"/>
          <w:b/>
          <w:sz w:val="24"/>
          <w:szCs w:val="24"/>
        </w:rPr>
        <w:t>Quelle est la quantité optimale à produire ? résoudre à partir d’un système d’équations représentants les contraintes de production</w:t>
      </w:r>
    </w:p>
    <w:p w:rsidR="00500978" w:rsidRPr="006C709D" w:rsidRDefault="00500978" w:rsidP="00500978">
      <w:pPr>
        <w:pStyle w:val="Paragraphedeliste"/>
        <w:rPr>
          <w:rFonts w:ascii="Arial Narrow" w:hAnsi="Arial Narrow"/>
          <w:b/>
          <w:sz w:val="24"/>
          <w:szCs w:val="24"/>
        </w:rPr>
      </w:pPr>
    </w:p>
    <w:p w:rsidR="00500978" w:rsidRPr="006C709D" w:rsidRDefault="00500978">
      <w:pPr>
        <w:rPr>
          <w:rFonts w:ascii="Arial Narrow" w:hAnsi="Arial Narrow"/>
          <w:b/>
          <w:sz w:val="24"/>
          <w:szCs w:val="24"/>
        </w:rPr>
      </w:pPr>
    </w:p>
    <w:sectPr w:rsidR="00500978" w:rsidRPr="006C709D" w:rsidSect="00D33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4397"/>
    <w:multiLevelType w:val="hybridMultilevel"/>
    <w:tmpl w:val="8B7809A4"/>
    <w:lvl w:ilvl="0" w:tplc="290039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0D2E64"/>
    <w:multiLevelType w:val="hybridMultilevel"/>
    <w:tmpl w:val="F20A2B0C"/>
    <w:lvl w:ilvl="0" w:tplc="D2D6F97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66232"/>
    <w:multiLevelType w:val="hybridMultilevel"/>
    <w:tmpl w:val="70E2F1EA"/>
    <w:lvl w:ilvl="0" w:tplc="29F87B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23733"/>
    <w:rsid w:val="00000C2A"/>
    <w:rsid w:val="000349E1"/>
    <w:rsid w:val="001136FB"/>
    <w:rsid w:val="00114386"/>
    <w:rsid w:val="00323733"/>
    <w:rsid w:val="00500978"/>
    <w:rsid w:val="0059429D"/>
    <w:rsid w:val="006C709D"/>
    <w:rsid w:val="008C0638"/>
    <w:rsid w:val="00A15232"/>
    <w:rsid w:val="00A67478"/>
    <w:rsid w:val="00B11034"/>
    <w:rsid w:val="00BA3A3A"/>
    <w:rsid w:val="00BC662A"/>
    <w:rsid w:val="00C00712"/>
    <w:rsid w:val="00C50BE3"/>
    <w:rsid w:val="00D331E3"/>
    <w:rsid w:val="00D944BC"/>
    <w:rsid w:val="00DD3E7C"/>
    <w:rsid w:val="00E7112A"/>
    <w:rsid w:val="00FA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1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237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94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dcterms:created xsi:type="dcterms:W3CDTF">2018-12-23T11:10:00Z</dcterms:created>
  <dcterms:modified xsi:type="dcterms:W3CDTF">2018-12-23T11:10:00Z</dcterms:modified>
</cp:coreProperties>
</file>